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BAF66" w14:textId="57B67CAA" w:rsidR="000A59E5" w:rsidRDefault="00CF29E2" w:rsidP="00CF29E2">
      <w:pPr>
        <w:spacing w:line="240" w:lineRule="auto"/>
        <w:jc w:val="center"/>
        <w:rPr>
          <w:rFonts w:ascii="Times New Roman" w:hAnsi="Times New Roman" w:cs="Times New Roman"/>
          <w:b/>
          <w:sz w:val="28"/>
          <w:szCs w:val="28"/>
        </w:rPr>
      </w:pPr>
      <w:r w:rsidRPr="00330119">
        <w:rPr>
          <w:rFonts w:ascii="Times New Roman" w:hAnsi="Times New Roman" w:cs="Times New Roman"/>
          <w:b/>
          <w:sz w:val="28"/>
          <w:szCs w:val="28"/>
        </w:rPr>
        <w:t>Factor</w:t>
      </w:r>
      <w:r w:rsidR="006D565E" w:rsidRPr="00330119">
        <w:rPr>
          <w:rFonts w:ascii="Times New Roman" w:hAnsi="Times New Roman" w:cs="Times New Roman"/>
          <w:b/>
          <w:sz w:val="28"/>
          <w:szCs w:val="28"/>
        </w:rPr>
        <w:t>s</w:t>
      </w:r>
      <w:r w:rsidRPr="00330119">
        <w:rPr>
          <w:rFonts w:ascii="Times New Roman" w:hAnsi="Times New Roman" w:cs="Times New Roman"/>
          <w:b/>
          <w:sz w:val="28"/>
          <w:szCs w:val="28"/>
        </w:rPr>
        <w:t xml:space="preserve"> </w:t>
      </w:r>
      <w:r w:rsidR="006D565E" w:rsidRPr="00330119">
        <w:rPr>
          <w:rFonts w:ascii="Times New Roman" w:hAnsi="Times New Roman" w:cs="Times New Roman"/>
          <w:b/>
          <w:sz w:val="28"/>
          <w:szCs w:val="28"/>
        </w:rPr>
        <w:t>Influencing</w:t>
      </w:r>
      <w:r w:rsidRPr="00330119">
        <w:rPr>
          <w:rFonts w:ascii="Times New Roman" w:hAnsi="Times New Roman" w:cs="Times New Roman"/>
          <w:b/>
          <w:sz w:val="28"/>
          <w:szCs w:val="28"/>
        </w:rPr>
        <w:t xml:space="preserve"> the Customer Switching Behaviour in Inves</w:t>
      </w:r>
      <w:bookmarkStart w:id="0" w:name="_GoBack"/>
      <w:bookmarkEnd w:id="0"/>
      <w:r w:rsidRPr="00330119">
        <w:rPr>
          <w:rFonts w:ascii="Times New Roman" w:hAnsi="Times New Roman" w:cs="Times New Roman"/>
          <w:b/>
          <w:sz w:val="28"/>
          <w:szCs w:val="28"/>
        </w:rPr>
        <w:t xml:space="preserve">tment Banking </w:t>
      </w:r>
    </w:p>
    <w:p w14:paraId="5032755C" w14:textId="77777777" w:rsidR="00AE26AE" w:rsidRPr="00DC45D3" w:rsidRDefault="00AE26AE" w:rsidP="00CF29E2">
      <w:pPr>
        <w:spacing w:line="240" w:lineRule="auto"/>
        <w:jc w:val="center"/>
        <w:rPr>
          <w:rFonts w:ascii="Times New Roman" w:hAnsi="Times New Roman" w:cs="Times New Roman"/>
          <w:sz w:val="24"/>
          <w:szCs w:val="24"/>
        </w:rPr>
      </w:pPr>
    </w:p>
    <w:p w14:paraId="0ED962F9" w14:textId="6BE598B3" w:rsidR="00AE26AE" w:rsidRPr="00DC45D3" w:rsidRDefault="00AE26AE" w:rsidP="00CF29E2">
      <w:pPr>
        <w:spacing w:line="240" w:lineRule="auto"/>
        <w:jc w:val="center"/>
        <w:rPr>
          <w:rFonts w:ascii="Times New Roman" w:hAnsi="Times New Roman" w:cs="Times New Roman"/>
          <w:b/>
          <w:bCs/>
          <w:sz w:val="24"/>
          <w:szCs w:val="24"/>
        </w:rPr>
      </w:pPr>
      <w:r w:rsidRPr="00DC45D3">
        <w:rPr>
          <w:rFonts w:ascii="Times New Roman" w:hAnsi="Times New Roman" w:cs="Times New Roman"/>
          <w:b/>
          <w:bCs/>
          <w:sz w:val="24"/>
          <w:szCs w:val="24"/>
        </w:rPr>
        <w:t>Salawati Sahari, Nur Afiqah Othman, Shaharuddin Jakpar</w:t>
      </w:r>
      <w:r w:rsidR="004064A1" w:rsidRPr="00DC45D3">
        <w:rPr>
          <w:rFonts w:ascii="Times New Roman" w:hAnsi="Times New Roman" w:cs="Times New Roman"/>
          <w:b/>
          <w:bCs/>
          <w:sz w:val="24"/>
          <w:szCs w:val="24"/>
        </w:rPr>
        <w:t xml:space="preserve"> and</w:t>
      </w:r>
      <w:r w:rsidRPr="00DC45D3">
        <w:rPr>
          <w:rFonts w:ascii="Times New Roman" w:hAnsi="Times New Roman" w:cs="Times New Roman"/>
          <w:b/>
          <w:bCs/>
          <w:sz w:val="24"/>
          <w:szCs w:val="24"/>
        </w:rPr>
        <w:t xml:space="preserve"> Esmie Obrin Nichol</w:t>
      </w:r>
    </w:p>
    <w:p w14:paraId="18853837" w14:textId="77777777" w:rsidR="00AE26AE" w:rsidRPr="001B5B65" w:rsidRDefault="00AE26AE" w:rsidP="00AE26AE">
      <w:pPr>
        <w:widowControl w:val="0"/>
        <w:autoSpaceDE w:val="0"/>
        <w:autoSpaceDN w:val="0"/>
        <w:adjustRightInd w:val="0"/>
        <w:spacing w:after="0" w:line="240" w:lineRule="auto"/>
        <w:jc w:val="center"/>
        <w:rPr>
          <w:rFonts w:ascii="Times New Roman" w:hAnsi="Times New Roman"/>
          <w:sz w:val="24"/>
          <w:szCs w:val="24"/>
        </w:rPr>
      </w:pPr>
      <w:r w:rsidRPr="001B5B65">
        <w:rPr>
          <w:rFonts w:ascii="Times New Roman" w:hAnsi="Times New Roman"/>
          <w:sz w:val="24"/>
          <w:szCs w:val="24"/>
        </w:rPr>
        <w:t>Universiti Malaysia Sarawak</w:t>
      </w:r>
      <w:r>
        <w:rPr>
          <w:rFonts w:ascii="Times New Roman" w:hAnsi="Times New Roman"/>
          <w:sz w:val="24"/>
          <w:szCs w:val="24"/>
        </w:rPr>
        <w:t xml:space="preserve">, </w:t>
      </w:r>
      <w:r w:rsidRPr="001B5B65">
        <w:rPr>
          <w:rFonts w:ascii="Times New Roman" w:hAnsi="Times New Roman"/>
          <w:sz w:val="24"/>
          <w:szCs w:val="24"/>
        </w:rPr>
        <w:t>Sarawak. Malaysia.</w:t>
      </w:r>
    </w:p>
    <w:p w14:paraId="69F8731F" w14:textId="77777777" w:rsidR="00AE26AE" w:rsidRPr="00AE26AE" w:rsidRDefault="00AE26AE" w:rsidP="00CF29E2">
      <w:pPr>
        <w:spacing w:line="240" w:lineRule="auto"/>
        <w:jc w:val="center"/>
        <w:rPr>
          <w:rFonts w:ascii="Times New Roman" w:hAnsi="Times New Roman" w:cs="Times New Roman"/>
          <w:sz w:val="28"/>
          <w:szCs w:val="28"/>
        </w:rPr>
      </w:pPr>
    </w:p>
    <w:p w14:paraId="0C8E7A5B" w14:textId="77777777" w:rsidR="00330119" w:rsidRPr="00330119" w:rsidRDefault="00330119" w:rsidP="00330119">
      <w:pPr>
        <w:spacing w:line="240" w:lineRule="auto"/>
        <w:jc w:val="center"/>
        <w:rPr>
          <w:rFonts w:ascii="Times New Roman" w:hAnsi="Times New Roman" w:cs="Times New Roman"/>
          <w:sz w:val="24"/>
          <w:szCs w:val="24"/>
        </w:rPr>
      </w:pPr>
    </w:p>
    <w:p w14:paraId="4C317369" w14:textId="77777777" w:rsidR="00CF29E2" w:rsidRPr="00985BDC" w:rsidRDefault="00CF29E2" w:rsidP="00CF29E2">
      <w:pPr>
        <w:spacing w:line="240" w:lineRule="auto"/>
        <w:jc w:val="center"/>
        <w:rPr>
          <w:rFonts w:ascii="Times New Roman" w:hAnsi="Times New Roman" w:cs="Times New Roman"/>
          <w:b/>
          <w:sz w:val="24"/>
          <w:szCs w:val="24"/>
        </w:rPr>
      </w:pPr>
      <w:r w:rsidRPr="00985BDC">
        <w:rPr>
          <w:rFonts w:ascii="Times New Roman" w:hAnsi="Times New Roman" w:cs="Times New Roman"/>
          <w:b/>
          <w:sz w:val="24"/>
          <w:szCs w:val="24"/>
        </w:rPr>
        <w:t>ABSTRACT</w:t>
      </w:r>
    </w:p>
    <w:p w14:paraId="20256CF2" w14:textId="68F28F03" w:rsidR="000A59E5" w:rsidRDefault="000A59E5" w:rsidP="00CF29E2">
      <w:pPr>
        <w:spacing w:line="240" w:lineRule="auto"/>
        <w:jc w:val="both"/>
        <w:rPr>
          <w:rFonts w:ascii="Times New Roman" w:hAnsi="Times New Roman" w:cs="Times New Roman"/>
          <w:sz w:val="24"/>
          <w:szCs w:val="24"/>
        </w:rPr>
      </w:pPr>
      <w:r w:rsidRPr="00985BDC">
        <w:rPr>
          <w:rFonts w:ascii="Times New Roman" w:hAnsi="Times New Roman" w:cs="Times New Roman"/>
          <w:sz w:val="24"/>
          <w:szCs w:val="24"/>
        </w:rPr>
        <w:t xml:space="preserve">This study </w:t>
      </w:r>
      <w:r w:rsidR="006D565E" w:rsidRPr="00985BDC">
        <w:rPr>
          <w:rFonts w:ascii="Times New Roman" w:hAnsi="Times New Roman" w:cs="Times New Roman"/>
          <w:sz w:val="24"/>
          <w:szCs w:val="24"/>
        </w:rPr>
        <w:t>examines</w:t>
      </w:r>
      <w:r w:rsidRPr="00985BDC">
        <w:rPr>
          <w:rFonts w:ascii="Times New Roman" w:hAnsi="Times New Roman" w:cs="Times New Roman"/>
          <w:sz w:val="24"/>
          <w:szCs w:val="24"/>
        </w:rPr>
        <w:t xml:space="preserve"> the factors that influence the customer switching behaviour especially in banks. </w:t>
      </w:r>
      <w:r w:rsidR="005B565F">
        <w:rPr>
          <w:rFonts w:ascii="Times New Roman" w:hAnsi="Times New Roman" w:cs="Times New Roman"/>
          <w:sz w:val="24"/>
          <w:szCs w:val="24"/>
        </w:rPr>
        <w:t>The data was collected through questionnaires distributions to the r</w:t>
      </w:r>
      <w:r w:rsidRPr="00985BDC">
        <w:rPr>
          <w:rFonts w:ascii="Times New Roman" w:hAnsi="Times New Roman" w:cs="Times New Roman"/>
          <w:sz w:val="24"/>
          <w:szCs w:val="24"/>
        </w:rPr>
        <w:t xml:space="preserve">espondents </w:t>
      </w:r>
      <w:r w:rsidR="005B565F">
        <w:rPr>
          <w:rFonts w:ascii="Times New Roman" w:hAnsi="Times New Roman" w:cs="Times New Roman"/>
          <w:sz w:val="24"/>
          <w:szCs w:val="24"/>
        </w:rPr>
        <w:t xml:space="preserve">who </w:t>
      </w:r>
      <w:r w:rsidRPr="00985BDC">
        <w:rPr>
          <w:rFonts w:ascii="Times New Roman" w:hAnsi="Times New Roman" w:cs="Times New Roman"/>
          <w:sz w:val="24"/>
          <w:szCs w:val="24"/>
        </w:rPr>
        <w:t xml:space="preserve">were drawn from the customers </w:t>
      </w:r>
      <w:r w:rsidR="006D565E">
        <w:rPr>
          <w:rFonts w:ascii="Times New Roman" w:hAnsi="Times New Roman" w:cs="Times New Roman"/>
          <w:sz w:val="24"/>
          <w:szCs w:val="24"/>
        </w:rPr>
        <w:t xml:space="preserve">who </w:t>
      </w:r>
      <w:r w:rsidRPr="00985BDC">
        <w:rPr>
          <w:rFonts w:ascii="Times New Roman" w:hAnsi="Times New Roman" w:cs="Times New Roman"/>
          <w:sz w:val="24"/>
          <w:szCs w:val="24"/>
        </w:rPr>
        <w:t>have investment account between Tabung Haji and</w:t>
      </w:r>
      <w:r w:rsidR="00FF60FF" w:rsidRPr="00985BDC">
        <w:rPr>
          <w:rFonts w:ascii="Times New Roman" w:hAnsi="Times New Roman" w:cs="Times New Roman"/>
          <w:sz w:val="24"/>
          <w:szCs w:val="24"/>
        </w:rPr>
        <w:t xml:space="preserve"> </w:t>
      </w:r>
      <w:r w:rsidR="00031B2C">
        <w:rPr>
          <w:rFonts w:ascii="Times New Roman" w:hAnsi="Times New Roman" w:cs="Times New Roman"/>
          <w:sz w:val="24"/>
          <w:szCs w:val="24"/>
        </w:rPr>
        <w:t>Amanah Saham Nasional Berhad (</w:t>
      </w:r>
      <w:r w:rsidR="00FF60FF" w:rsidRPr="00985BDC">
        <w:rPr>
          <w:rFonts w:ascii="Times New Roman" w:hAnsi="Times New Roman" w:cs="Times New Roman"/>
          <w:sz w:val="24"/>
          <w:szCs w:val="24"/>
        </w:rPr>
        <w:t>ASNB</w:t>
      </w:r>
      <w:r w:rsidR="00031B2C">
        <w:rPr>
          <w:rFonts w:ascii="Times New Roman" w:hAnsi="Times New Roman" w:cs="Times New Roman"/>
          <w:sz w:val="24"/>
          <w:szCs w:val="24"/>
        </w:rPr>
        <w:t>)</w:t>
      </w:r>
      <w:r w:rsidR="00FF60FF" w:rsidRPr="00985BDC">
        <w:rPr>
          <w:rFonts w:ascii="Times New Roman" w:hAnsi="Times New Roman" w:cs="Times New Roman"/>
          <w:sz w:val="24"/>
          <w:szCs w:val="24"/>
        </w:rPr>
        <w:t xml:space="preserve"> account banks in Malaysia</w:t>
      </w:r>
      <w:r w:rsidRPr="00985BDC">
        <w:rPr>
          <w:rFonts w:ascii="Times New Roman" w:hAnsi="Times New Roman" w:cs="Times New Roman"/>
          <w:sz w:val="24"/>
          <w:szCs w:val="24"/>
        </w:rPr>
        <w:t xml:space="preserve">.  In order to test </w:t>
      </w:r>
      <w:r w:rsidR="006D565E">
        <w:rPr>
          <w:rFonts w:ascii="Times New Roman" w:hAnsi="Times New Roman" w:cs="Times New Roman"/>
          <w:sz w:val="24"/>
          <w:szCs w:val="24"/>
        </w:rPr>
        <w:t xml:space="preserve">the </w:t>
      </w:r>
      <w:r w:rsidRPr="00985BDC">
        <w:rPr>
          <w:rFonts w:ascii="Times New Roman" w:hAnsi="Times New Roman" w:cs="Times New Roman"/>
          <w:sz w:val="24"/>
          <w:szCs w:val="24"/>
        </w:rPr>
        <w:t xml:space="preserve">hypotheses, </w:t>
      </w:r>
      <w:r w:rsidR="006D565E">
        <w:rPr>
          <w:rFonts w:ascii="Times New Roman" w:hAnsi="Times New Roman" w:cs="Times New Roman"/>
          <w:sz w:val="24"/>
          <w:szCs w:val="24"/>
        </w:rPr>
        <w:t>the</w:t>
      </w:r>
      <w:r w:rsidRPr="00985BDC">
        <w:rPr>
          <w:rFonts w:ascii="Times New Roman" w:hAnsi="Times New Roman" w:cs="Times New Roman"/>
          <w:sz w:val="24"/>
          <w:szCs w:val="24"/>
        </w:rPr>
        <w:t xml:space="preserve"> multiple regression analysis </w:t>
      </w:r>
      <w:r w:rsidR="006D565E" w:rsidRPr="00985BDC">
        <w:rPr>
          <w:rFonts w:ascii="Times New Roman" w:hAnsi="Times New Roman" w:cs="Times New Roman"/>
          <w:sz w:val="24"/>
          <w:szCs w:val="24"/>
        </w:rPr>
        <w:t>was</w:t>
      </w:r>
      <w:r w:rsidRPr="00985BDC">
        <w:rPr>
          <w:rFonts w:ascii="Times New Roman" w:hAnsi="Times New Roman" w:cs="Times New Roman"/>
          <w:sz w:val="24"/>
          <w:szCs w:val="24"/>
        </w:rPr>
        <w:t xml:space="preserve"> applied in this study</w:t>
      </w:r>
      <w:r w:rsidR="006D565E">
        <w:rPr>
          <w:rFonts w:ascii="Times New Roman" w:hAnsi="Times New Roman" w:cs="Times New Roman"/>
          <w:sz w:val="24"/>
          <w:szCs w:val="24"/>
        </w:rPr>
        <w:t>, as predicted from the prospect theory</w:t>
      </w:r>
      <w:r w:rsidRPr="00985BDC">
        <w:rPr>
          <w:rFonts w:ascii="Times New Roman" w:hAnsi="Times New Roman" w:cs="Times New Roman"/>
          <w:sz w:val="24"/>
          <w:szCs w:val="24"/>
        </w:rPr>
        <w:t>. It was discovered that the reputation, service quality, distance, switching cost, price, involuntary switching, advertising as well as religious belief were not significant drive</w:t>
      </w:r>
      <w:r w:rsidR="006D565E">
        <w:rPr>
          <w:rFonts w:ascii="Times New Roman" w:hAnsi="Times New Roman" w:cs="Times New Roman"/>
          <w:sz w:val="24"/>
          <w:szCs w:val="24"/>
        </w:rPr>
        <w:t>r to the</w:t>
      </w:r>
      <w:r w:rsidRPr="00985BDC">
        <w:rPr>
          <w:rFonts w:ascii="Times New Roman" w:hAnsi="Times New Roman" w:cs="Times New Roman"/>
          <w:sz w:val="24"/>
          <w:szCs w:val="24"/>
        </w:rPr>
        <w:t xml:space="preserve"> switching behaviour among the bank customers in Malaysia. Based on the findings of this study, it was recommended that bank manager should focus on service quality and also give undivided attention to the price. Therefore, the interest rate charged or fees ought to be followed up while adequate, timely information need to be given to the customers on reasons for change.</w:t>
      </w:r>
    </w:p>
    <w:p w14:paraId="54FBF0C3" w14:textId="1EE38BD6" w:rsidR="00E8650D" w:rsidRPr="00330119" w:rsidRDefault="00E8650D" w:rsidP="00CF29E2">
      <w:pPr>
        <w:spacing w:line="240" w:lineRule="auto"/>
        <w:jc w:val="both"/>
        <w:rPr>
          <w:rFonts w:ascii="Times New Roman" w:hAnsi="Times New Roman" w:cs="Times New Roman"/>
          <w:i/>
          <w:sz w:val="24"/>
          <w:szCs w:val="24"/>
        </w:rPr>
      </w:pPr>
      <w:r w:rsidRPr="00330119">
        <w:rPr>
          <w:rFonts w:ascii="Times New Roman" w:hAnsi="Times New Roman" w:cs="Times New Roman"/>
          <w:i/>
          <w:sz w:val="24"/>
          <w:szCs w:val="24"/>
        </w:rPr>
        <w:t>Keywords: Switching behaviour, investment account, service quality, switching cost</w:t>
      </w:r>
    </w:p>
    <w:p w14:paraId="56D145AC" w14:textId="6D21C3AD" w:rsidR="000A59E5" w:rsidRPr="00985BDC" w:rsidRDefault="00E8650D" w:rsidP="00E8650D">
      <w:pPr>
        <w:pStyle w:val="Heading2"/>
        <w:jc w:val="center"/>
        <w:rPr>
          <w:sz w:val="24"/>
          <w:szCs w:val="24"/>
        </w:rPr>
      </w:pPr>
      <w:r w:rsidRPr="00985BDC">
        <w:rPr>
          <w:sz w:val="24"/>
          <w:szCs w:val="24"/>
        </w:rPr>
        <w:t>INTRODUCTION</w:t>
      </w:r>
    </w:p>
    <w:p w14:paraId="2891CE08" w14:textId="2DBD8C2F" w:rsidR="000A59E5" w:rsidRPr="00985BDC" w:rsidRDefault="000A59E5" w:rsidP="00CF29E2">
      <w:pPr>
        <w:spacing w:line="240" w:lineRule="auto"/>
        <w:ind w:firstLine="360"/>
        <w:jc w:val="both"/>
        <w:rPr>
          <w:rFonts w:ascii="Times New Roman" w:hAnsi="Times New Roman" w:cs="Times New Roman"/>
          <w:sz w:val="24"/>
          <w:szCs w:val="24"/>
        </w:rPr>
      </w:pPr>
      <w:r w:rsidRPr="00985BDC">
        <w:rPr>
          <w:rFonts w:ascii="Times New Roman" w:hAnsi="Times New Roman" w:cs="Times New Roman"/>
          <w:sz w:val="24"/>
          <w:szCs w:val="24"/>
        </w:rPr>
        <w:t>Currently, numerous firms were attracted to the individual investors thus they invest in many shareowner promoting events in a place to turn to them (Vogelheim et al., 2001). The event probably best in attracting existing consumers as the shareowners are motivating them to fit as consumers. As stated by Aspara</w:t>
      </w:r>
      <w:r w:rsidR="00031B2C">
        <w:rPr>
          <w:rFonts w:ascii="Times New Roman" w:hAnsi="Times New Roman" w:cs="Times New Roman"/>
          <w:sz w:val="24"/>
          <w:szCs w:val="24"/>
        </w:rPr>
        <w:t xml:space="preserve"> (</w:t>
      </w:r>
      <w:r w:rsidRPr="00985BDC">
        <w:rPr>
          <w:rFonts w:ascii="Times New Roman" w:hAnsi="Times New Roman" w:cs="Times New Roman"/>
          <w:sz w:val="24"/>
          <w:szCs w:val="24"/>
        </w:rPr>
        <w:t>2009</w:t>
      </w:r>
      <w:r w:rsidR="00031B2C">
        <w:rPr>
          <w:rFonts w:ascii="Times New Roman" w:hAnsi="Times New Roman" w:cs="Times New Roman"/>
          <w:sz w:val="24"/>
          <w:szCs w:val="24"/>
        </w:rPr>
        <w:t>)</w:t>
      </w:r>
      <w:r w:rsidRPr="00985BDC">
        <w:rPr>
          <w:rFonts w:ascii="Times New Roman" w:hAnsi="Times New Roman" w:cs="Times New Roman"/>
          <w:sz w:val="24"/>
          <w:szCs w:val="24"/>
        </w:rPr>
        <w:t xml:space="preserve">, more investors would want to buy the products and services in which the company they invested into as an encouragement. Besides that, a firm which provide a good product will probably provide the highest quality of good or services and believe the corporations might have a productive venture capital too. Since many of shareholders are saying fine stocks are from the fine firms (Shefrin, 2001). </w:t>
      </w:r>
    </w:p>
    <w:p w14:paraId="7C99C55F" w14:textId="16C0B2C5" w:rsidR="000A59E5" w:rsidRPr="00985BDC" w:rsidRDefault="005B565F" w:rsidP="00CF29E2">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Shefrin (</w:t>
      </w:r>
      <w:r w:rsidR="000A59E5" w:rsidRPr="00985BDC">
        <w:rPr>
          <w:rFonts w:ascii="Times New Roman" w:hAnsi="Times New Roman" w:cs="Times New Roman"/>
          <w:sz w:val="24"/>
          <w:szCs w:val="24"/>
        </w:rPr>
        <w:t>2001</w:t>
      </w:r>
      <w:r>
        <w:rPr>
          <w:rFonts w:ascii="Times New Roman" w:hAnsi="Times New Roman" w:cs="Times New Roman"/>
          <w:sz w:val="24"/>
          <w:szCs w:val="24"/>
        </w:rPr>
        <w:t>)</w:t>
      </w:r>
      <w:r w:rsidR="000A59E5" w:rsidRPr="00985BDC">
        <w:rPr>
          <w:rFonts w:ascii="Times New Roman" w:hAnsi="Times New Roman" w:cs="Times New Roman"/>
          <w:sz w:val="24"/>
          <w:szCs w:val="24"/>
        </w:rPr>
        <w:t xml:space="preserve"> finds that normally investor behaviour can be scrutinized with regard to initial share purchases. Whilst in terms of switching behaviour of portfolio optimization</w:t>
      </w:r>
      <w:r>
        <w:rPr>
          <w:rFonts w:ascii="Times New Roman" w:hAnsi="Times New Roman" w:cs="Times New Roman"/>
          <w:sz w:val="24"/>
          <w:szCs w:val="24"/>
        </w:rPr>
        <w:t xml:space="preserve"> context, Spurgin and Tamarkin (</w:t>
      </w:r>
      <w:r w:rsidR="000A59E5" w:rsidRPr="00985BDC">
        <w:rPr>
          <w:rFonts w:ascii="Times New Roman" w:hAnsi="Times New Roman" w:cs="Times New Roman"/>
          <w:sz w:val="24"/>
          <w:szCs w:val="24"/>
        </w:rPr>
        <w:t>2005</w:t>
      </w:r>
      <w:r>
        <w:rPr>
          <w:rFonts w:ascii="Times New Roman" w:hAnsi="Times New Roman" w:cs="Times New Roman"/>
          <w:sz w:val="24"/>
          <w:szCs w:val="24"/>
        </w:rPr>
        <w:t>)</w:t>
      </w:r>
      <w:r w:rsidR="000A59E5" w:rsidRPr="00985BDC">
        <w:rPr>
          <w:rFonts w:ascii="Times New Roman" w:hAnsi="Times New Roman" w:cs="Times New Roman"/>
          <w:sz w:val="24"/>
          <w:szCs w:val="24"/>
        </w:rPr>
        <w:t xml:space="preserve"> believe i</w:t>
      </w:r>
      <w:r w:rsidR="00031B2C">
        <w:rPr>
          <w:rFonts w:ascii="Times New Roman" w:hAnsi="Times New Roman" w:cs="Times New Roman"/>
          <w:sz w:val="24"/>
          <w:szCs w:val="24"/>
        </w:rPr>
        <w:t xml:space="preserve">n context of ‘fixed to stocks’.  </w:t>
      </w:r>
      <w:r w:rsidR="000A59E5" w:rsidRPr="00985BDC">
        <w:rPr>
          <w:rFonts w:ascii="Times New Roman" w:hAnsi="Times New Roman" w:cs="Times New Roman"/>
          <w:sz w:val="24"/>
          <w:szCs w:val="24"/>
        </w:rPr>
        <w:t>In point of view from individual publicly traded company, it may be advantage while individual investors maintain their shares on a long-</w:t>
      </w:r>
      <w:r w:rsidR="00031B2C">
        <w:rPr>
          <w:rFonts w:ascii="Times New Roman" w:hAnsi="Times New Roman" w:cs="Times New Roman"/>
          <w:sz w:val="24"/>
          <w:szCs w:val="24"/>
        </w:rPr>
        <w:t>term basis. As said by Steward (</w:t>
      </w:r>
      <w:r w:rsidR="000A59E5" w:rsidRPr="00985BDC">
        <w:rPr>
          <w:rFonts w:ascii="Times New Roman" w:hAnsi="Times New Roman" w:cs="Times New Roman"/>
          <w:sz w:val="24"/>
          <w:szCs w:val="24"/>
        </w:rPr>
        <w:t>1988</w:t>
      </w:r>
      <w:r w:rsidR="00031B2C">
        <w:rPr>
          <w:rFonts w:ascii="Times New Roman" w:hAnsi="Times New Roman" w:cs="Times New Roman"/>
          <w:sz w:val="24"/>
          <w:szCs w:val="24"/>
        </w:rPr>
        <w:t>)</w:t>
      </w:r>
      <w:r w:rsidR="000A59E5" w:rsidRPr="00985BDC">
        <w:rPr>
          <w:rFonts w:ascii="Times New Roman" w:hAnsi="Times New Roman" w:cs="Times New Roman"/>
          <w:sz w:val="24"/>
          <w:szCs w:val="24"/>
        </w:rPr>
        <w:t>, many mechanisms that may affect a customers’ choice to swap in context of banking might various and complicated.</w:t>
      </w:r>
    </w:p>
    <w:p w14:paraId="52BD72D9" w14:textId="2F79717C" w:rsidR="000A59E5" w:rsidRPr="00985BDC" w:rsidRDefault="00031B2C" w:rsidP="00CF29E2">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S</w:t>
      </w:r>
      <w:r w:rsidR="000A59E5" w:rsidRPr="00985BDC">
        <w:rPr>
          <w:rFonts w:ascii="Times New Roman" w:hAnsi="Times New Roman" w:cs="Times New Roman"/>
          <w:sz w:val="24"/>
          <w:szCs w:val="24"/>
        </w:rPr>
        <w:t>tudies regarding of consumer banking have established that indebted to the global financial crisis. Consequently, consumers ’trust with banks have decreasing considerably as stated by Jarvinen (2014</w:t>
      </w:r>
      <w:r>
        <w:rPr>
          <w:rFonts w:ascii="Times New Roman" w:hAnsi="Times New Roman" w:cs="Times New Roman"/>
          <w:sz w:val="24"/>
          <w:szCs w:val="24"/>
        </w:rPr>
        <w:t xml:space="preserve">). </w:t>
      </w:r>
      <w:r w:rsidR="000A59E5" w:rsidRPr="00985BDC">
        <w:rPr>
          <w:rFonts w:ascii="Times New Roman" w:hAnsi="Times New Roman" w:cs="Times New Roman"/>
          <w:sz w:val="24"/>
          <w:szCs w:val="24"/>
        </w:rPr>
        <w:t xml:space="preserve">Thus, it has become crucial for financial institutions to keep and enhance strategic relationships to make sure profitable holding and to forecast the important drivers of switching behaviour in a prime competitive market. </w:t>
      </w:r>
      <w:r w:rsidRPr="00985BDC">
        <w:rPr>
          <w:rFonts w:ascii="Times New Roman" w:hAnsi="Times New Roman" w:cs="Times New Roman"/>
          <w:sz w:val="24"/>
          <w:szCs w:val="24"/>
        </w:rPr>
        <w:t>Jarvinen (2014</w:t>
      </w:r>
      <w:r>
        <w:rPr>
          <w:rFonts w:ascii="Times New Roman" w:hAnsi="Times New Roman" w:cs="Times New Roman"/>
          <w:sz w:val="24"/>
          <w:szCs w:val="24"/>
        </w:rPr>
        <w:t xml:space="preserve">) </w:t>
      </w:r>
      <w:r w:rsidR="000A59E5" w:rsidRPr="00985BDC">
        <w:rPr>
          <w:rFonts w:ascii="Times New Roman" w:hAnsi="Times New Roman" w:cs="Times New Roman"/>
          <w:sz w:val="24"/>
          <w:szCs w:val="24"/>
        </w:rPr>
        <w:t xml:space="preserve">explores the vital factors involving to switching decisions for </w:t>
      </w:r>
      <w:r>
        <w:rPr>
          <w:rFonts w:ascii="Times New Roman" w:hAnsi="Times New Roman" w:cs="Times New Roman"/>
          <w:sz w:val="24"/>
          <w:szCs w:val="24"/>
        </w:rPr>
        <w:t>home loaners. T</w:t>
      </w:r>
      <w:r w:rsidR="000A59E5" w:rsidRPr="00985BDC">
        <w:rPr>
          <w:rFonts w:ascii="Times New Roman" w:hAnsi="Times New Roman" w:cs="Times New Roman"/>
          <w:sz w:val="24"/>
          <w:szCs w:val="24"/>
        </w:rPr>
        <w:t xml:space="preserve">he findings are expected to </w:t>
      </w:r>
      <w:r w:rsidR="000A59E5" w:rsidRPr="00985BDC">
        <w:rPr>
          <w:rFonts w:ascii="Times New Roman" w:hAnsi="Times New Roman" w:cs="Times New Roman"/>
          <w:sz w:val="24"/>
          <w:szCs w:val="24"/>
        </w:rPr>
        <w:lastRenderedPageBreak/>
        <w:t>benefit Australian financial institutions in the general financial industry because of the effective CRM</w:t>
      </w:r>
      <w:r>
        <w:rPr>
          <w:rFonts w:ascii="Times New Roman" w:hAnsi="Times New Roman" w:cs="Times New Roman"/>
          <w:sz w:val="24"/>
          <w:szCs w:val="24"/>
        </w:rPr>
        <w:t xml:space="preserve"> (</w:t>
      </w:r>
      <w:r w:rsidRPr="00985BDC">
        <w:rPr>
          <w:rFonts w:ascii="Times New Roman" w:hAnsi="Times New Roman" w:cs="Times New Roman"/>
          <w:sz w:val="24"/>
          <w:szCs w:val="24"/>
        </w:rPr>
        <w:t>Customer Relationship Management</w:t>
      </w:r>
      <w:r>
        <w:rPr>
          <w:rFonts w:ascii="Times New Roman" w:hAnsi="Times New Roman" w:cs="Times New Roman"/>
          <w:sz w:val="24"/>
          <w:szCs w:val="24"/>
        </w:rPr>
        <w:t>)</w:t>
      </w:r>
      <w:r w:rsidR="000A59E5" w:rsidRPr="00985BDC">
        <w:rPr>
          <w:rFonts w:ascii="Times New Roman" w:hAnsi="Times New Roman" w:cs="Times New Roman"/>
          <w:sz w:val="24"/>
          <w:szCs w:val="24"/>
        </w:rPr>
        <w:t xml:space="preserve"> policy they formulated.  </w:t>
      </w:r>
    </w:p>
    <w:p w14:paraId="48EBD196" w14:textId="229F7676" w:rsidR="000A59E5" w:rsidRPr="00985BDC" w:rsidRDefault="00031B2C" w:rsidP="00CF29E2">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for </w:t>
      </w:r>
      <w:r w:rsidR="000A59E5" w:rsidRPr="00985BDC">
        <w:rPr>
          <w:rFonts w:ascii="Times New Roman" w:eastAsia="Times New Roman" w:hAnsi="Times New Roman" w:cs="Times New Roman"/>
          <w:sz w:val="24"/>
          <w:szCs w:val="24"/>
        </w:rPr>
        <w:t xml:space="preserve">this research, researchers would like to know how far the investors know about the customer switching behaviour. Financial services industry is experiencing an essential transform.  The banks do not just react to the pressures of the market todays but try to adapt to the customers with thinking ahead of the future that will be those that succeed in the distant future. </w:t>
      </w:r>
      <w:r>
        <w:rPr>
          <w:rFonts w:ascii="Times New Roman" w:eastAsia="Times New Roman" w:hAnsi="Times New Roman" w:cs="Times New Roman"/>
          <w:sz w:val="24"/>
          <w:szCs w:val="24"/>
        </w:rPr>
        <w:t>This study attempt</w:t>
      </w:r>
      <w:r w:rsidR="000A59E5" w:rsidRPr="00985BDC">
        <w:rPr>
          <w:rFonts w:ascii="Times New Roman" w:eastAsia="Times New Roman" w:hAnsi="Times New Roman" w:cs="Times New Roman"/>
          <w:sz w:val="24"/>
          <w:szCs w:val="24"/>
        </w:rPr>
        <w:t xml:space="preserve"> to know what is determinants that influence customers switching behaviour towards the investment firms in Malaysia. </w:t>
      </w:r>
    </w:p>
    <w:p w14:paraId="19D450C5" w14:textId="77777777"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hAnsi="Times New Roman" w:cs="Times New Roman"/>
          <w:sz w:val="24"/>
          <w:szCs w:val="24"/>
        </w:rPr>
        <w:tab/>
      </w:r>
      <w:r w:rsidRPr="00985BDC">
        <w:rPr>
          <w:rFonts w:ascii="Times New Roman" w:eastAsia="Times New Roman" w:hAnsi="Times New Roman" w:cs="Times New Roman"/>
          <w:sz w:val="24"/>
          <w:szCs w:val="24"/>
        </w:rPr>
        <w:t xml:space="preserve">The customers will decide how they would choose the company they want to invest for based on the dividend yield, religious belief, profit and interest, cost, notoriety, quality of services, promoting, involuntary switching, distance and switching cost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{"citationItems":[{"id":"ITEM-1","itemData":{"abstract":"Due to the nature of the era in which we live there are lots of differences among past and current organizations and relating to this topic&lt;&lt;the authorities in the field of management says :&lt;&lt; nowadays managers deal with the organizations which aren't similar to organizations in the past. One of the basic features of new organizations is their formation based on learning. Therefore managers and staff are consistently learning and gain new skills because the power in each organization is compatible to the degree of permanent education of its managers and staff. The aim of this essay is being familiar with the feature of learning organization.","author":[{"dropping-particle":"","family":"Hasan Purhaghshenas","given":"Seid","non-dropping-particle":"","parse-names":false,"suffix":""},{"dropping-particle":"","family":"Esmatnia","given":"Maryam","non-dropping-particle":"","parse-names":false,"suffix":""}],"id":"ITEM-1","issue":"November","issued":{"date-parts":[["2012"]]},"title":"Interdisciplinary Journal of Contemporary Research in Business Learning Organizations","type":"article-journal"},"uris":["http://www.mendeley.com/documents/?uuid=44f0acc1-9287-46bb-8439-fc2185169a8f"]}],"mendeley":{"formattedCitation":"(Hasan Purhaghshenas &amp; Esmatnia, 2012)","plainTextFormattedCitation":"(Hasan Purhaghshenas &amp; Esmatnia, 2012)","previouslyFormattedCitation":"(Hasan Purhaghshenas &amp; Esmatnia, 2012)"},"properties":{"noteIndex":0},"schema":"https://github.com/citation-style-language/schema/raw/master/csl-citation.json"}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(Hasan Purhaghshenas &amp; Esmatnia, 2012)</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Customers switching behaviours is the main aspect of decision of customers to pick the investment firms to. The dependent variable of this research is customers switching behaviour and it is positively and negatively related to the independent variable. </w:t>
      </w:r>
    </w:p>
    <w:p w14:paraId="012B50EA" w14:textId="2D14E984" w:rsidR="000A59E5" w:rsidRPr="00985BDC" w:rsidRDefault="000A59E5"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To conduct this study, </w:t>
      </w:r>
      <w:r w:rsidR="00031B2C">
        <w:rPr>
          <w:rFonts w:ascii="Times New Roman" w:eastAsia="Times New Roman" w:hAnsi="Times New Roman" w:cs="Times New Roman"/>
          <w:sz w:val="24"/>
          <w:szCs w:val="24"/>
        </w:rPr>
        <w:t>two</w:t>
      </w:r>
      <w:r w:rsidRPr="00985BDC">
        <w:rPr>
          <w:rFonts w:ascii="Times New Roman" w:eastAsia="Times New Roman" w:hAnsi="Times New Roman" w:cs="Times New Roman"/>
          <w:sz w:val="24"/>
          <w:szCs w:val="24"/>
        </w:rPr>
        <w:t xml:space="preserve"> investment companies</w:t>
      </w:r>
      <w:r w:rsidR="00031B2C">
        <w:rPr>
          <w:rFonts w:ascii="Times New Roman" w:eastAsia="Times New Roman" w:hAnsi="Times New Roman" w:cs="Times New Roman"/>
          <w:sz w:val="24"/>
          <w:szCs w:val="24"/>
        </w:rPr>
        <w:t>, namely Tabung Haji and ASNB</w:t>
      </w:r>
      <w:r w:rsidRPr="00985BDC">
        <w:rPr>
          <w:rFonts w:ascii="Times New Roman" w:eastAsia="Times New Roman" w:hAnsi="Times New Roman" w:cs="Times New Roman"/>
          <w:sz w:val="24"/>
          <w:szCs w:val="24"/>
        </w:rPr>
        <w:t xml:space="preserve"> are chosen. </w:t>
      </w:r>
      <w:r w:rsidR="00031B2C">
        <w:rPr>
          <w:rFonts w:ascii="Times New Roman" w:eastAsia="Times New Roman" w:hAnsi="Times New Roman" w:cs="Times New Roman"/>
          <w:sz w:val="24"/>
          <w:szCs w:val="24"/>
        </w:rPr>
        <w:t>The reason to choose this two major industries during the period of the data collection was the v</w:t>
      </w:r>
      <w:r w:rsidRPr="00985BDC">
        <w:rPr>
          <w:rFonts w:ascii="Times New Roman" w:eastAsia="Times New Roman" w:hAnsi="Times New Roman" w:cs="Times New Roman"/>
          <w:sz w:val="24"/>
          <w:szCs w:val="24"/>
        </w:rPr>
        <w:t>enture capital banking is an industry that in disturbance</w:t>
      </w:r>
      <w:r w:rsidR="00031B2C">
        <w:rPr>
          <w:rFonts w:ascii="Times New Roman" w:eastAsia="Times New Roman" w:hAnsi="Times New Roman" w:cs="Times New Roman"/>
          <w:sz w:val="24"/>
          <w:szCs w:val="24"/>
        </w:rPr>
        <w:t>, especially in Malaysia</w:t>
      </w:r>
      <w:r w:rsidRPr="00985BDC">
        <w:rPr>
          <w:rFonts w:ascii="Times New Roman" w:eastAsia="Times New Roman" w:hAnsi="Times New Roman" w:cs="Times New Roman"/>
          <w:sz w:val="24"/>
          <w:szCs w:val="24"/>
        </w:rPr>
        <w:t xml:space="preserve">. It confronts a proficiency and profitability emergency, with much reduce ROE (Revenue of Equity), increasing prices and immobile incomes. It confronts a developmental climax with the prove banks have gotten all the vital pace to address controls problems and transform workers behaviour to avoid a turning point of faith with stated that banks have put their profit before the demand of clients. This industry has become one of Malaysia's major export earnings. So, a research was conducted to know the factor that affect the clients switching behaviour in investment banking among </w:t>
      </w:r>
      <w:r w:rsidR="00031B2C">
        <w:rPr>
          <w:rFonts w:ascii="Times New Roman" w:eastAsia="Times New Roman" w:hAnsi="Times New Roman" w:cs="Times New Roman"/>
          <w:sz w:val="24"/>
          <w:szCs w:val="24"/>
        </w:rPr>
        <w:t xml:space="preserve">these </w:t>
      </w:r>
      <w:r w:rsidRPr="00985BDC">
        <w:rPr>
          <w:rFonts w:ascii="Times New Roman" w:eastAsia="Times New Roman" w:hAnsi="Times New Roman" w:cs="Times New Roman"/>
          <w:sz w:val="24"/>
          <w:szCs w:val="24"/>
        </w:rPr>
        <w:t xml:space="preserve">two investment companies in Malaysia. </w:t>
      </w:r>
    </w:p>
    <w:p w14:paraId="34D9CC87" w14:textId="3D842012" w:rsidR="000A59E5" w:rsidRPr="00985BDC" w:rsidRDefault="00031B2C" w:rsidP="00031B2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Therefore, t</w:t>
      </w:r>
      <w:r w:rsidR="000A59E5" w:rsidRPr="00985BDC">
        <w:rPr>
          <w:rFonts w:ascii="Times New Roman" w:hAnsi="Times New Roman" w:cs="Times New Roman"/>
          <w:sz w:val="24"/>
          <w:szCs w:val="24"/>
        </w:rPr>
        <w:t>he main objective of this research was to research the correlation between customers switching behaviour and the factors that affect the customers switching behaviour in the banking industry.</w:t>
      </w:r>
    </w:p>
    <w:p w14:paraId="2CA980E3" w14:textId="14781FE0" w:rsidR="000A59E5" w:rsidRPr="00E8650D" w:rsidRDefault="000A59E5" w:rsidP="00CF29E2">
      <w:pPr>
        <w:pStyle w:val="Heading2"/>
        <w:rPr>
          <w:i/>
          <w:sz w:val="24"/>
          <w:szCs w:val="24"/>
        </w:rPr>
      </w:pPr>
      <w:r w:rsidRPr="00E8650D">
        <w:rPr>
          <w:i/>
          <w:sz w:val="24"/>
          <w:szCs w:val="24"/>
        </w:rPr>
        <w:t>S</w:t>
      </w:r>
      <w:r w:rsidR="00031B2C" w:rsidRPr="00E8650D">
        <w:rPr>
          <w:i/>
          <w:sz w:val="24"/>
          <w:szCs w:val="24"/>
        </w:rPr>
        <w:t>ignificance</w:t>
      </w:r>
      <w:r w:rsidRPr="00E8650D">
        <w:rPr>
          <w:i/>
          <w:sz w:val="24"/>
          <w:szCs w:val="24"/>
        </w:rPr>
        <w:t xml:space="preserve"> of </w:t>
      </w:r>
      <w:r w:rsidR="00031B2C" w:rsidRPr="00E8650D">
        <w:rPr>
          <w:i/>
          <w:sz w:val="24"/>
          <w:szCs w:val="24"/>
        </w:rPr>
        <w:t>the s</w:t>
      </w:r>
      <w:r w:rsidRPr="00E8650D">
        <w:rPr>
          <w:i/>
          <w:sz w:val="24"/>
          <w:szCs w:val="24"/>
        </w:rPr>
        <w:t>tudy</w:t>
      </w:r>
    </w:p>
    <w:p w14:paraId="7DC2627F" w14:textId="43D3BAF0" w:rsidR="000A59E5" w:rsidRPr="00985BDC" w:rsidRDefault="000A59E5" w:rsidP="00CF29E2">
      <w:pPr>
        <w:spacing w:line="240" w:lineRule="auto"/>
        <w:ind w:firstLine="360"/>
        <w:jc w:val="both"/>
        <w:rPr>
          <w:rFonts w:ascii="Times New Roman" w:hAnsi="Times New Roman" w:cs="Times New Roman"/>
          <w:sz w:val="24"/>
          <w:szCs w:val="24"/>
        </w:rPr>
      </w:pPr>
      <w:r w:rsidRPr="00985BDC">
        <w:rPr>
          <w:rFonts w:ascii="Times New Roman" w:hAnsi="Times New Roman" w:cs="Times New Roman"/>
          <w:sz w:val="24"/>
          <w:szCs w:val="24"/>
        </w:rPr>
        <w:t>Consumer switching behaviour (CSB) has gained ample consideration by scholars and practitioners in terms of marketing literature since the past years. This is probably due to the impact on the profitability, survival and development of the business enterprise.</w:t>
      </w:r>
    </w:p>
    <w:p w14:paraId="2549A0C4" w14:textId="306302D3" w:rsidR="000A59E5" w:rsidRPr="00985BDC" w:rsidRDefault="000A59E5" w:rsidP="00CF29E2">
      <w:pPr>
        <w:spacing w:line="240" w:lineRule="auto"/>
        <w:ind w:firstLine="360"/>
        <w:jc w:val="both"/>
        <w:rPr>
          <w:rFonts w:ascii="Times New Roman" w:hAnsi="Times New Roman" w:cs="Times New Roman"/>
          <w:sz w:val="24"/>
          <w:szCs w:val="24"/>
        </w:rPr>
      </w:pPr>
      <w:r w:rsidRPr="00985BDC">
        <w:rPr>
          <w:rFonts w:ascii="Times New Roman" w:hAnsi="Times New Roman" w:cs="Times New Roman"/>
          <w:sz w:val="24"/>
          <w:szCs w:val="24"/>
        </w:rPr>
        <w:t xml:space="preserve">In this research, it can be explained in more detail of what influence the customers for the process for decision making of choosing the investment banking that are most </w:t>
      </w:r>
      <w:r w:rsidR="00031B2C">
        <w:rPr>
          <w:rFonts w:ascii="Times New Roman" w:hAnsi="Times New Roman" w:cs="Times New Roman"/>
          <w:sz w:val="24"/>
          <w:szCs w:val="24"/>
        </w:rPr>
        <w:t>worth it to</w:t>
      </w:r>
      <w:r w:rsidRPr="00985BDC">
        <w:rPr>
          <w:rFonts w:ascii="Times New Roman" w:hAnsi="Times New Roman" w:cs="Times New Roman"/>
          <w:sz w:val="24"/>
          <w:szCs w:val="24"/>
        </w:rPr>
        <w:t xml:space="preserve"> invest into. As mention in the objectives of this study is segment of customers according to them in believe and behavioural characteristics. The </w:t>
      </w:r>
      <w:r w:rsidR="004F744D">
        <w:rPr>
          <w:rFonts w:ascii="Times New Roman" w:hAnsi="Times New Roman" w:cs="Times New Roman"/>
          <w:sz w:val="24"/>
          <w:szCs w:val="24"/>
        </w:rPr>
        <w:t xml:space="preserve">significance </w:t>
      </w:r>
      <w:r w:rsidRPr="00985BDC">
        <w:rPr>
          <w:rFonts w:ascii="Times New Roman" w:hAnsi="Times New Roman" w:cs="Times New Roman"/>
          <w:sz w:val="24"/>
          <w:szCs w:val="24"/>
        </w:rPr>
        <w:t xml:space="preserve">of this study is to enrich </w:t>
      </w:r>
      <w:r w:rsidR="004F744D">
        <w:rPr>
          <w:rFonts w:ascii="Times New Roman" w:hAnsi="Times New Roman" w:cs="Times New Roman"/>
          <w:sz w:val="24"/>
          <w:szCs w:val="24"/>
        </w:rPr>
        <w:t>the</w:t>
      </w:r>
      <w:r w:rsidRPr="00985BDC">
        <w:rPr>
          <w:rFonts w:ascii="Times New Roman" w:hAnsi="Times New Roman" w:cs="Times New Roman"/>
          <w:sz w:val="24"/>
          <w:szCs w:val="24"/>
        </w:rPr>
        <w:t xml:space="preserve"> awareness of the behaviour of the investors depending on the market and assists customers in choosing the right investment firms services by identifying the relevant factors that influence most of their decision. By reading this study, we may able to get the knowledge and become more understanding of the typology’s customers switching behaviour.</w:t>
      </w:r>
    </w:p>
    <w:p w14:paraId="3FA74E38" w14:textId="54CD71E7" w:rsidR="000A59E5" w:rsidRPr="00985BDC" w:rsidRDefault="00C4022A" w:rsidP="00C4022A">
      <w:pPr>
        <w:pStyle w:val="Heading2"/>
        <w:jc w:val="center"/>
        <w:rPr>
          <w:sz w:val="24"/>
          <w:szCs w:val="24"/>
        </w:rPr>
      </w:pPr>
      <w:r w:rsidRPr="00985BDC">
        <w:rPr>
          <w:sz w:val="24"/>
          <w:szCs w:val="24"/>
        </w:rPr>
        <w:t>THEORETICAL FRAMEWORK</w:t>
      </w:r>
    </w:p>
    <w:p w14:paraId="10709ED3" w14:textId="067F5FD4" w:rsidR="004064A1" w:rsidRPr="00985BDC" w:rsidRDefault="000A59E5" w:rsidP="000F1EF7">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The figure</w:t>
      </w:r>
      <w:r w:rsidR="00C4022A">
        <w:rPr>
          <w:rFonts w:ascii="Times New Roman" w:eastAsia="Times New Roman" w:hAnsi="Times New Roman" w:cs="Times New Roman"/>
          <w:sz w:val="24"/>
          <w:szCs w:val="24"/>
        </w:rPr>
        <w:t xml:space="preserve"> 1</w:t>
      </w:r>
      <w:r w:rsidRPr="00985BDC">
        <w:rPr>
          <w:rFonts w:ascii="Times New Roman" w:eastAsia="Times New Roman" w:hAnsi="Times New Roman" w:cs="Times New Roman"/>
          <w:sz w:val="24"/>
          <w:szCs w:val="24"/>
        </w:rPr>
        <w:t xml:space="preserve"> below shows the theoretical framework for this research. In this framework, it involves ten types of variables which are religious belief, reputation, price, service quality, advertising, involuntary switching, switching cost and distance while for </w:t>
      </w:r>
      <w:r w:rsidRPr="00985BDC">
        <w:rPr>
          <w:rFonts w:ascii="Times New Roman" w:eastAsia="Times New Roman" w:hAnsi="Times New Roman" w:cs="Times New Roman"/>
          <w:sz w:val="24"/>
          <w:szCs w:val="24"/>
        </w:rPr>
        <w:lastRenderedPageBreak/>
        <w:t>dependent variables involves only one which is customer switching behaviour in investment banking sector.</w:t>
      </w:r>
    </w:p>
    <w:p w14:paraId="4B89CE62" w14:textId="77777777" w:rsidR="000A59E5" w:rsidRPr="00985BDC" w:rsidRDefault="000A59E5" w:rsidP="00CF29E2">
      <w:pPr>
        <w:spacing w:line="240" w:lineRule="auto"/>
        <w:rPr>
          <w:rFonts w:ascii="Times New Roman" w:hAnsi="Times New Roman" w:cs="Times New Roman"/>
          <w:sz w:val="24"/>
          <w:szCs w:val="24"/>
        </w:rPr>
      </w:pPr>
      <w:r w:rsidRPr="00985BDC">
        <w:rPr>
          <w:rFonts w:ascii="Times New Roman" w:hAnsi="Times New Roman" w:cs="Times New Roman"/>
          <w:noProof/>
          <w:sz w:val="24"/>
          <w:szCs w:val="24"/>
          <w:lang w:val="ms-MY" w:eastAsia="ms-MY"/>
        </w:rPr>
        <w:drawing>
          <wp:anchor distT="0" distB="0" distL="114300" distR="114300" simplePos="0" relativeHeight="251658240" behindDoc="0" locked="0" layoutInCell="1" allowOverlap="1" wp14:anchorId="6BEB66BA" wp14:editId="606CA259">
            <wp:simplePos x="0" y="0"/>
            <wp:positionH relativeFrom="column">
              <wp:posOffset>-466725</wp:posOffset>
            </wp:positionH>
            <wp:positionV relativeFrom="paragraph">
              <wp:posOffset>113665</wp:posOffset>
            </wp:positionV>
            <wp:extent cx="6059805" cy="31946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9805" cy="3194685"/>
                    </a:xfrm>
                    <a:prstGeom prst="rect">
                      <a:avLst/>
                    </a:prstGeom>
                    <a:noFill/>
                  </pic:spPr>
                </pic:pic>
              </a:graphicData>
            </a:graphic>
            <wp14:sizeRelH relativeFrom="page">
              <wp14:pctWidth>0</wp14:pctWidth>
            </wp14:sizeRelH>
            <wp14:sizeRelV relativeFrom="page">
              <wp14:pctHeight>0</wp14:pctHeight>
            </wp14:sizeRelV>
          </wp:anchor>
        </w:drawing>
      </w:r>
    </w:p>
    <w:p w14:paraId="00BF5541" w14:textId="77777777" w:rsidR="000A59E5" w:rsidRPr="00985BDC" w:rsidRDefault="000A59E5" w:rsidP="00CF29E2">
      <w:pPr>
        <w:spacing w:line="240" w:lineRule="auto"/>
        <w:rPr>
          <w:rFonts w:ascii="Times New Roman" w:hAnsi="Times New Roman" w:cs="Times New Roman"/>
          <w:sz w:val="24"/>
          <w:szCs w:val="24"/>
        </w:rPr>
      </w:pPr>
    </w:p>
    <w:p w14:paraId="47365550" w14:textId="77777777" w:rsidR="000A59E5" w:rsidRPr="00985BDC" w:rsidRDefault="000A59E5" w:rsidP="00CF29E2">
      <w:pPr>
        <w:spacing w:line="240" w:lineRule="auto"/>
        <w:rPr>
          <w:rFonts w:ascii="Times New Roman" w:hAnsi="Times New Roman" w:cs="Times New Roman"/>
          <w:sz w:val="24"/>
          <w:szCs w:val="24"/>
        </w:rPr>
      </w:pPr>
    </w:p>
    <w:p w14:paraId="0A73A879" w14:textId="77777777" w:rsidR="000A59E5" w:rsidRPr="00985BDC" w:rsidRDefault="000A59E5" w:rsidP="00CF29E2">
      <w:pPr>
        <w:spacing w:line="240" w:lineRule="auto"/>
        <w:rPr>
          <w:rFonts w:ascii="Times New Roman" w:hAnsi="Times New Roman" w:cs="Times New Roman"/>
          <w:sz w:val="24"/>
          <w:szCs w:val="24"/>
        </w:rPr>
      </w:pPr>
    </w:p>
    <w:p w14:paraId="1212D0B3" w14:textId="77777777" w:rsidR="000A59E5" w:rsidRPr="00985BDC" w:rsidRDefault="000A59E5" w:rsidP="00CF29E2">
      <w:pPr>
        <w:spacing w:line="240" w:lineRule="auto"/>
        <w:rPr>
          <w:rFonts w:ascii="Times New Roman" w:hAnsi="Times New Roman" w:cs="Times New Roman"/>
          <w:sz w:val="24"/>
          <w:szCs w:val="24"/>
        </w:rPr>
      </w:pPr>
    </w:p>
    <w:p w14:paraId="76DD12FA" w14:textId="77777777" w:rsidR="000A59E5" w:rsidRPr="00985BDC" w:rsidRDefault="000A59E5" w:rsidP="00CF29E2">
      <w:pPr>
        <w:spacing w:line="240" w:lineRule="auto"/>
        <w:rPr>
          <w:rFonts w:ascii="Times New Roman" w:hAnsi="Times New Roman" w:cs="Times New Roman"/>
          <w:sz w:val="24"/>
          <w:szCs w:val="24"/>
        </w:rPr>
      </w:pPr>
    </w:p>
    <w:p w14:paraId="1A2E0A9E" w14:textId="77777777" w:rsidR="000A59E5" w:rsidRPr="00985BDC" w:rsidRDefault="000A59E5" w:rsidP="00CF29E2">
      <w:pPr>
        <w:spacing w:line="240" w:lineRule="auto"/>
        <w:rPr>
          <w:rFonts w:ascii="Times New Roman" w:hAnsi="Times New Roman" w:cs="Times New Roman"/>
          <w:sz w:val="24"/>
          <w:szCs w:val="24"/>
        </w:rPr>
      </w:pPr>
    </w:p>
    <w:p w14:paraId="735A045F" w14:textId="77777777" w:rsidR="000A59E5" w:rsidRPr="00985BDC" w:rsidRDefault="000A59E5" w:rsidP="00CF29E2">
      <w:pPr>
        <w:spacing w:line="240" w:lineRule="auto"/>
        <w:rPr>
          <w:rFonts w:ascii="Times New Roman" w:hAnsi="Times New Roman" w:cs="Times New Roman"/>
          <w:sz w:val="24"/>
          <w:szCs w:val="24"/>
        </w:rPr>
      </w:pPr>
    </w:p>
    <w:p w14:paraId="5F669A75" w14:textId="77777777" w:rsidR="000A59E5" w:rsidRPr="00985BDC" w:rsidRDefault="000A59E5" w:rsidP="00CF29E2">
      <w:pPr>
        <w:spacing w:line="240" w:lineRule="auto"/>
        <w:rPr>
          <w:rFonts w:ascii="Times New Roman" w:hAnsi="Times New Roman" w:cs="Times New Roman"/>
          <w:sz w:val="24"/>
          <w:szCs w:val="24"/>
        </w:rPr>
      </w:pPr>
    </w:p>
    <w:p w14:paraId="7E4074B5" w14:textId="77777777" w:rsidR="000A59E5" w:rsidRPr="00985BDC" w:rsidRDefault="000A59E5" w:rsidP="00CF29E2">
      <w:pPr>
        <w:spacing w:line="240" w:lineRule="auto"/>
        <w:rPr>
          <w:rFonts w:ascii="Times New Roman" w:hAnsi="Times New Roman" w:cs="Times New Roman"/>
          <w:sz w:val="24"/>
          <w:szCs w:val="24"/>
        </w:rPr>
      </w:pPr>
    </w:p>
    <w:p w14:paraId="09CA4DC7" w14:textId="77777777" w:rsidR="000A59E5" w:rsidRPr="00985BDC" w:rsidRDefault="000A59E5" w:rsidP="00CF29E2">
      <w:pPr>
        <w:spacing w:line="240" w:lineRule="auto"/>
        <w:rPr>
          <w:rFonts w:ascii="Times New Roman" w:hAnsi="Times New Roman" w:cs="Times New Roman"/>
          <w:sz w:val="24"/>
          <w:szCs w:val="24"/>
        </w:rPr>
      </w:pPr>
    </w:p>
    <w:p w14:paraId="31166EE3" w14:textId="77777777" w:rsidR="000A59E5" w:rsidRPr="00985BDC" w:rsidRDefault="000A59E5" w:rsidP="00CF29E2">
      <w:pPr>
        <w:spacing w:line="240" w:lineRule="auto"/>
        <w:rPr>
          <w:rFonts w:ascii="Times New Roman" w:hAnsi="Times New Roman" w:cs="Times New Roman"/>
          <w:sz w:val="24"/>
          <w:szCs w:val="24"/>
        </w:rPr>
      </w:pPr>
    </w:p>
    <w:p w14:paraId="44A8B8A8" w14:textId="59FF4A19" w:rsidR="000A59E5" w:rsidRDefault="000A59E5" w:rsidP="00CF29E2">
      <w:pPr>
        <w:pStyle w:val="Default"/>
        <w:jc w:val="center"/>
      </w:pPr>
      <w:r w:rsidRPr="00985BDC">
        <w:t xml:space="preserve">Source: Adopted from  </w:t>
      </w:r>
      <w:r w:rsidRPr="00985BDC">
        <w:fldChar w:fldCharType="begin" w:fldLock="1"/>
      </w:r>
      <w:r w:rsidRPr="00985BDC">
        <w:instrText>ADDIN CSL_CITATION {"citationItems":[{"id":"ITEM-1","itemData":{"author":[{"dropping-particle":"","family":"Nimako","given":"Simon","non-dropping-particle":"","parse-names":false,"suffix":""}],"id":"ITEM-1","issue":"July 2012","issued":{"date-parts":[["2015"]]},"title":"Consumer Switching Behaviour: A Theoretical Review and Research agenda | SIMON NIMAKO - Academia.edu","type":"article-journal"},"uris":["http://www.mendeley.com/documents/?uuid=eb787c58-fa41-48e5-bf1e-4bd2e3429fc5"]}],"mendeley":{"formattedCitation":"(Nimako, 2015)","plainTextFormattedCitation":"(Nimako, 2015)","previouslyFormattedCitation":"(Nimako, 2015)"},"properties":{"noteIndex":0},"schema":"https://github.com/citation-style-language/schema/raw/master/csl-citation.json"}</w:instrText>
      </w:r>
      <w:r w:rsidRPr="00985BDC">
        <w:fldChar w:fldCharType="separate"/>
      </w:r>
      <w:r w:rsidRPr="00985BDC">
        <w:rPr>
          <w:noProof/>
        </w:rPr>
        <w:t>(Nimako, 2015)</w:t>
      </w:r>
      <w:r w:rsidRPr="00985BDC">
        <w:fldChar w:fldCharType="end"/>
      </w:r>
    </w:p>
    <w:p w14:paraId="31CA8962" w14:textId="77777777" w:rsidR="00031B2C" w:rsidRPr="00985BDC" w:rsidRDefault="00031B2C" w:rsidP="00CF29E2">
      <w:pPr>
        <w:pStyle w:val="Default"/>
        <w:jc w:val="center"/>
      </w:pPr>
    </w:p>
    <w:p w14:paraId="092E035A" w14:textId="4532A0E1" w:rsidR="00031B2C" w:rsidRPr="00985BDC" w:rsidRDefault="00C4022A" w:rsidP="00031B2C">
      <w:pPr>
        <w:pStyle w:val="Caption"/>
        <w:jc w:val="center"/>
        <w:rPr>
          <w:rFonts w:ascii="Times New Roman" w:hAnsi="Times New Roman" w:cs="Times New Roman"/>
          <w:color w:val="auto"/>
          <w:sz w:val="24"/>
          <w:szCs w:val="24"/>
        </w:rPr>
      </w:pPr>
      <w:bookmarkStart w:id="1" w:name="_Toc533097876"/>
      <w:bookmarkStart w:id="2" w:name="_Toc8613243"/>
      <w:r>
        <w:rPr>
          <w:rFonts w:ascii="Times New Roman" w:hAnsi="Times New Roman" w:cs="Times New Roman"/>
          <w:color w:val="auto"/>
          <w:sz w:val="24"/>
          <w:szCs w:val="24"/>
        </w:rPr>
        <w:t>Figure</w:t>
      </w:r>
      <w:r w:rsidR="00031B2C" w:rsidRPr="00985BDC">
        <w:rPr>
          <w:rFonts w:ascii="Times New Roman" w:hAnsi="Times New Roman" w:cs="Times New Roman"/>
          <w:color w:val="auto"/>
          <w:sz w:val="24"/>
          <w:szCs w:val="24"/>
        </w:rPr>
        <w:t xml:space="preserve"> </w:t>
      </w:r>
      <w:r w:rsidR="00031B2C" w:rsidRPr="00985BDC">
        <w:rPr>
          <w:rFonts w:ascii="Times New Roman" w:hAnsi="Times New Roman" w:cs="Times New Roman"/>
          <w:color w:val="auto"/>
          <w:sz w:val="24"/>
          <w:szCs w:val="24"/>
        </w:rPr>
        <w:fldChar w:fldCharType="begin"/>
      </w:r>
      <w:r w:rsidR="00031B2C" w:rsidRPr="00985BDC">
        <w:rPr>
          <w:rFonts w:ascii="Times New Roman" w:hAnsi="Times New Roman" w:cs="Times New Roman"/>
          <w:color w:val="auto"/>
          <w:sz w:val="24"/>
          <w:szCs w:val="24"/>
        </w:rPr>
        <w:instrText xml:space="preserve"> SEQ Figure_3. \* ARABIC </w:instrText>
      </w:r>
      <w:r w:rsidR="00031B2C" w:rsidRPr="00985BDC">
        <w:rPr>
          <w:rFonts w:ascii="Times New Roman" w:hAnsi="Times New Roman" w:cs="Times New Roman"/>
          <w:color w:val="auto"/>
          <w:sz w:val="24"/>
          <w:szCs w:val="24"/>
        </w:rPr>
        <w:fldChar w:fldCharType="separate"/>
      </w:r>
      <w:r w:rsidR="00031B2C" w:rsidRPr="00985BDC">
        <w:rPr>
          <w:rFonts w:ascii="Times New Roman" w:hAnsi="Times New Roman" w:cs="Times New Roman"/>
          <w:noProof/>
          <w:color w:val="auto"/>
          <w:sz w:val="24"/>
          <w:szCs w:val="24"/>
        </w:rPr>
        <w:t>1</w:t>
      </w:r>
      <w:r w:rsidR="00031B2C" w:rsidRPr="00985BDC">
        <w:rPr>
          <w:rFonts w:ascii="Times New Roman" w:hAnsi="Times New Roman" w:cs="Times New Roman"/>
          <w:color w:val="auto"/>
          <w:sz w:val="24"/>
          <w:szCs w:val="24"/>
        </w:rPr>
        <w:fldChar w:fldCharType="end"/>
      </w:r>
      <w:r w:rsidR="00031B2C" w:rsidRPr="00985BDC">
        <w:rPr>
          <w:rFonts w:ascii="Times New Roman" w:hAnsi="Times New Roman" w:cs="Times New Roman"/>
          <w:color w:val="auto"/>
          <w:sz w:val="24"/>
          <w:szCs w:val="24"/>
        </w:rPr>
        <w:t>: Conceptual framework of customer switching behaviour of investment banking</w:t>
      </w:r>
      <w:bookmarkEnd w:id="1"/>
      <w:bookmarkEnd w:id="2"/>
    </w:p>
    <w:p w14:paraId="5BD43276" w14:textId="2B29E5A9" w:rsidR="000A59E5" w:rsidRPr="00985BDC" w:rsidRDefault="000A59E5" w:rsidP="00CF29E2">
      <w:pPr>
        <w:tabs>
          <w:tab w:val="left" w:pos="1755"/>
        </w:tabs>
        <w:spacing w:line="240" w:lineRule="auto"/>
        <w:ind w:firstLine="360"/>
        <w:jc w:val="both"/>
        <w:rPr>
          <w:rFonts w:ascii="Times New Roman" w:hAnsi="Times New Roman" w:cs="Times New Roman"/>
          <w:sz w:val="24"/>
          <w:szCs w:val="24"/>
        </w:rPr>
      </w:pPr>
      <w:r w:rsidRPr="00985BDC">
        <w:rPr>
          <w:rFonts w:ascii="Times New Roman" w:hAnsi="Times New Roman" w:cs="Times New Roman"/>
          <w:sz w:val="24"/>
          <w:szCs w:val="24"/>
        </w:rPr>
        <w:t xml:space="preserve">According to </w:t>
      </w:r>
      <w:r w:rsidRPr="00985BDC">
        <w:rPr>
          <w:rFonts w:ascii="Times New Roman" w:hAnsi="Times New Roman" w:cs="Times New Roman"/>
          <w:sz w:val="24"/>
          <w:szCs w:val="24"/>
        </w:rPr>
        <w:fldChar w:fldCharType="begin" w:fldLock="1"/>
      </w:r>
      <w:r w:rsidRPr="00985BDC">
        <w:rPr>
          <w:rFonts w:ascii="Times New Roman" w:hAnsi="Times New Roman" w:cs="Times New Roman"/>
          <w:sz w:val="24"/>
          <w:szCs w:val="24"/>
        </w:rPr>
        <w:instrText>ADDIN CSL_CITATION {"citationItems":[{"id":"ITEM-1","itemData":{"author":[{"dropping-particle":"","family":"Nimako","given":"Simon","non-dropping-particle":"","parse-names":false,"suffix":""}],"id":"ITEM-1","issue":"July 2012","issued":{"date-parts":[["2015"]]},"title":"Consumer Switching Behaviour: A Theoretical Review and Research agenda | SIMON NIMAKO - Academia.edu","type":"article-journal"},"uris":["http://www.mendeley.com/documents/?uuid=eb787c58-fa41-48e5-bf1e-4bd2e3429fc5"]}],"mendeley":{"formattedCitation":"(Nimako, 2015)","plainTextFormattedCitation":"(Nimako, 2015)","previouslyFormattedCitation":"(Nimako, 2015)"},"properties":{"noteIndex":0},"schema":"https://github.com/citation-style-language/schema/raw/master/csl-citation.json"}</w:instrText>
      </w:r>
      <w:r w:rsidRPr="00985BDC">
        <w:rPr>
          <w:rFonts w:ascii="Times New Roman" w:hAnsi="Times New Roman" w:cs="Times New Roman"/>
          <w:sz w:val="24"/>
          <w:szCs w:val="24"/>
        </w:rPr>
        <w:fldChar w:fldCharType="separate"/>
      </w:r>
      <w:r w:rsidRPr="00985BDC">
        <w:rPr>
          <w:rFonts w:ascii="Times New Roman" w:hAnsi="Times New Roman" w:cs="Times New Roman"/>
          <w:noProof/>
          <w:sz w:val="24"/>
          <w:szCs w:val="24"/>
        </w:rPr>
        <w:t>(Nimako, 2015)</w:t>
      </w:r>
      <w:r w:rsidRPr="00985BDC">
        <w:rPr>
          <w:rFonts w:ascii="Times New Roman" w:hAnsi="Times New Roman" w:cs="Times New Roman"/>
          <w:sz w:val="24"/>
          <w:szCs w:val="24"/>
        </w:rPr>
        <w:fldChar w:fldCharType="end"/>
      </w:r>
      <w:r w:rsidRPr="00985BDC">
        <w:rPr>
          <w:rFonts w:ascii="Times New Roman" w:hAnsi="Times New Roman" w:cs="Times New Roman"/>
          <w:sz w:val="24"/>
          <w:szCs w:val="24"/>
        </w:rPr>
        <w:t xml:space="preserve">, based on the research of relative important switching incidents, </w:t>
      </w:r>
      <w:r w:rsidR="004F744D">
        <w:rPr>
          <w:rFonts w:ascii="Times New Roman" w:hAnsi="Times New Roman" w:cs="Times New Roman"/>
          <w:sz w:val="24"/>
          <w:szCs w:val="24"/>
        </w:rPr>
        <w:t>he</w:t>
      </w:r>
      <w:r w:rsidRPr="00985BDC">
        <w:rPr>
          <w:rFonts w:ascii="Times New Roman" w:hAnsi="Times New Roman" w:cs="Times New Roman"/>
          <w:sz w:val="24"/>
          <w:szCs w:val="24"/>
        </w:rPr>
        <w:t xml:space="preserve"> found that service failure, pricing and service encounter failure are the frequently problems based on forty-five percent respondents response. Eighty-five percent of the respondent found new service providers through active search while some of them through advertising, social media, marketing as well as promotion. </w:t>
      </w:r>
    </w:p>
    <w:p w14:paraId="76A0B64D" w14:textId="77777777" w:rsidR="000A59E5" w:rsidRPr="00985BDC" w:rsidRDefault="000A59E5" w:rsidP="00CF29E2">
      <w:pPr>
        <w:tabs>
          <w:tab w:val="left" w:pos="1755"/>
        </w:tabs>
        <w:spacing w:line="240" w:lineRule="auto"/>
        <w:ind w:firstLine="360"/>
        <w:jc w:val="both"/>
        <w:rPr>
          <w:rFonts w:ascii="Times New Roman" w:hAnsi="Times New Roman" w:cs="Times New Roman"/>
          <w:sz w:val="24"/>
          <w:szCs w:val="24"/>
        </w:rPr>
      </w:pPr>
      <w:r w:rsidRPr="00985BDC">
        <w:rPr>
          <w:rFonts w:ascii="Times New Roman" w:hAnsi="Times New Roman" w:cs="Times New Roman"/>
          <w:sz w:val="24"/>
          <w:szCs w:val="24"/>
        </w:rPr>
        <w:t xml:space="preserve">The figure above is the theoretical framework which is prospect theory of switching behaviour that used in this research. This theory specifically appropriate for customers in a loss situation or probably to make a risky decision of their financial than when they are in gain frame. Numerous researcher discover that major of Asian tend to have a more positive attitude to the risk in financial decisions than Westerners </w:t>
      </w:r>
      <w:r w:rsidRPr="00985BDC">
        <w:rPr>
          <w:rFonts w:ascii="Times New Roman" w:hAnsi="Times New Roman" w:cs="Times New Roman"/>
          <w:sz w:val="24"/>
          <w:szCs w:val="24"/>
        </w:rPr>
        <w:fldChar w:fldCharType="begin" w:fldLock="1"/>
      </w:r>
      <w:r w:rsidRPr="00985BDC">
        <w:rPr>
          <w:rFonts w:ascii="Times New Roman" w:hAnsi="Times New Roman" w:cs="Times New Roman"/>
          <w:sz w:val="24"/>
          <w:szCs w:val="24"/>
        </w:rPr>
        <w:instrText>ADDIN CSL_CITATION {"citationItems":[{"id":"ITEM-1","itemData":{"DOI":"10.1016/j.jbusres.2010.09.009","ISBN":"0148-2963","ISSN":"01482963","abstract":"Prospect theory states that an individual in a loss situation is more likely to make a risky financial decision than when they are in a gain frame. Some researchers observe that Asians tend to have a more positive attitude toward risk in financial decisions than Westerners. The first of two studies tests these two phenomena. The study finds Singaporeans and Chinese to be less risk averse than Dutch and New Zealand people over both a gain and a loss frame when making a personal financial decision. A second study extends this finding to individuals in a business relationship switching suppliers, and finds that when switching is framed as a risky decision the same pattern of behavior occurs. New Zealand and American consumers are more risk averse than those from Japan and Singapore, who are more likely to change suppliers under both a gain and a loss frame. © 2010 Elsevier Inc.","author":[{"dropping-particle":"","family":"Marshall","given":"Roger","non-dropping-particle":"","parse-names":false,"suffix":""},{"dropping-particle":"","family":"Huan","given":"Tzung Cheng","non-dropping-particle":"","parse-names":false,"suffix":""},{"dropping-particle":"","family":"Xu","given":"Yingzi","non-dropping-particle":"","parse-names":false,"suffix":""},{"dropping-particle":"","family":"Nam","given":"Inwoo","non-dropping-particle":"","parse-names":false,"suffix":""}],"container-title":"Journal of Business Research","id":"ITEM-1","issue":"8","issued":{"date-parts":[["2011"]]},"page":"871-878","publisher":"Elsevier Inc.","title":"Extending prospect theory cross-culturally by examining switching behavior in consumer and business-to-business contexts","type":"article-journal","volume":"64"},"uris":["http://www.mendeley.com/documents/?uuid=f20e36b2-f505-43f6-a79d-b32fff984b86"]}],"mendeley":{"formattedCitation":"(Marshall, Huan, Xu, &amp; Nam, 2011)","plainTextFormattedCitation":"(Marshall, Huan, Xu, &amp; Nam, 2011)","previouslyFormattedCitation":"(Marshall, Huan, Xu, &amp; Nam, 2011)"},"properties":{"noteIndex":0},"schema":"https://github.com/citation-style-language/schema/raw/master/csl-citation.json"}</w:instrText>
      </w:r>
      <w:r w:rsidRPr="00985BDC">
        <w:rPr>
          <w:rFonts w:ascii="Times New Roman" w:hAnsi="Times New Roman" w:cs="Times New Roman"/>
          <w:sz w:val="24"/>
          <w:szCs w:val="24"/>
        </w:rPr>
        <w:fldChar w:fldCharType="separate"/>
      </w:r>
      <w:r w:rsidRPr="00985BDC">
        <w:rPr>
          <w:rFonts w:ascii="Times New Roman" w:hAnsi="Times New Roman" w:cs="Times New Roman"/>
          <w:noProof/>
          <w:sz w:val="24"/>
          <w:szCs w:val="24"/>
        </w:rPr>
        <w:t>(Marshall, Huan, Xu, &amp; Nam, 2011)</w:t>
      </w:r>
      <w:r w:rsidRPr="00985BDC">
        <w:rPr>
          <w:rFonts w:ascii="Times New Roman" w:hAnsi="Times New Roman" w:cs="Times New Roman"/>
          <w:sz w:val="24"/>
          <w:szCs w:val="24"/>
        </w:rPr>
        <w:fldChar w:fldCharType="end"/>
      </w:r>
      <w:r w:rsidRPr="00985BDC">
        <w:rPr>
          <w:rFonts w:ascii="Times New Roman" w:hAnsi="Times New Roman" w:cs="Times New Roman"/>
          <w:sz w:val="24"/>
          <w:szCs w:val="24"/>
        </w:rPr>
        <w:t xml:space="preserve">. To be able to understand the drive of customers switching in investment banking, the prospect theory is applied. Originally, the theory was utilized to describe financial risk aversion under either loss or win situational frames. It also suggest that people interpret outcomes not as last state but as gains and loss related to either positive nor negative gain or loss </w:t>
      </w:r>
      <w:r w:rsidRPr="00985BDC">
        <w:rPr>
          <w:rFonts w:ascii="Times New Roman" w:hAnsi="Times New Roman" w:cs="Times New Roman"/>
          <w:sz w:val="24"/>
          <w:szCs w:val="24"/>
        </w:rPr>
        <w:fldChar w:fldCharType="begin" w:fldLock="1"/>
      </w:r>
      <w:r w:rsidRPr="00985BDC">
        <w:rPr>
          <w:rFonts w:ascii="Times New Roman" w:hAnsi="Times New Roman" w:cs="Times New Roman"/>
          <w:sz w:val="24"/>
          <w:szCs w:val="24"/>
        </w:rPr>
        <w:instrText>ADDIN CSL_CITATION {"citationItems":[{"id":"ITEM-1","itemData":{"DOI":"10.1086/508524","ISBN":"00935301","ISSN":"0093-5301","PMID":"23144943","abstract":"People are said to be loss averse when their pain of losing something exceeds their joy of gaining it. This research proposes and tests a new moderator of loss aversion: the type of relationship norms salient at the time the loss or the gain is experienced. We suggest that mere salience of the norms of a communal relationship (based on concern for the partner) relative to those of an exchange relationship (based on quid pro quo) leads to a greater degree of loss aversion. A typical endowment effect study supports our overall thesis and shows that differences across relationship norms are stronger in selling prices (willingness to accept) than in buying prices (willingness to pay).","author":[{"dropping-particle":"","family":"Aggarwal","given":"Pankaj","non-dropping-particle":"","parse-names":false,"suffix":""},{"dropping-particle":"","family":"Zhang","given":"Meng","non-dropping-particle":"","parse-names":false,"suffix":""}],"container-title":"Journal of Consumer Research","id":"ITEM-1","issue":"3","issued":{"date-parts":[["2006"]]},"page":"413-419","title":"The Moderating Effect of Relationship Norm Salience on Consumers' Loss Aversion: Figure 1","type":"article-journal","volume":"33"},"uris":["http://www.mendeley.com/documents/?uuid=616c893d-eccc-406e-9834-2bd3288af8bd"]}],"mendeley":{"formattedCitation":"(Aggarwal &amp; Zhang, 2006)","plainTextFormattedCitation":"(Aggarwal &amp; Zhang, 2006)","previouslyFormattedCitation":"(Aggarwal &amp; Zhang, 2006)"},"properties":{"noteIndex":0},"schema":"https://github.com/citation-style-language/schema/raw/master/csl-citation.json"}</w:instrText>
      </w:r>
      <w:r w:rsidRPr="00985BDC">
        <w:rPr>
          <w:rFonts w:ascii="Times New Roman" w:hAnsi="Times New Roman" w:cs="Times New Roman"/>
          <w:sz w:val="24"/>
          <w:szCs w:val="24"/>
        </w:rPr>
        <w:fldChar w:fldCharType="separate"/>
      </w:r>
      <w:r w:rsidRPr="00985BDC">
        <w:rPr>
          <w:rFonts w:ascii="Times New Roman" w:hAnsi="Times New Roman" w:cs="Times New Roman"/>
          <w:noProof/>
          <w:sz w:val="24"/>
          <w:szCs w:val="24"/>
        </w:rPr>
        <w:t>(Aggarwal &amp; Zhang, 2006)</w:t>
      </w:r>
      <w:r w:rsidRPr="00985BDC">
        <w:rPr>
          <w:rFonts w:ascii="Times New Roman" w:hAnsi="Times New Roman" w:cs="Times New Roman"/>
          <w:sz w:val="24"/>
          <w:szCs w:val="24"/>
        </w:rPr>
        <w:fldChar w:fldCharType="end"/>
      </w:r>
      <w:r w:rsidRPr="00985BDC">
        <w:rPr>
          <w:rFonts w:ascii="Times New Roman" w:hAnsi="Times New Roman" w:cs="Times New Roman"/>
          <w:sz w:val="24"/>
          <w:szCs w:val="24"/>
        </w:rPr>
        <w:t>.</w:t>
      </w:r>
    </w:p>
    <w:p w14:paraId="1871EA9D" w14:textId="0EB2DB24" w:rsidR="000A59E5" w:rsidRPr="000F1EF7" w:rsidRDefault="000A59E5" w:rsidP="00CF29E2">
      <w:pPr>
        <w:pStyle w:val="Heading2"/>
        <w:jc w:val="both"/>
        <w:rPr>
          <w:i/>
          <w:sz w:val="24"/>
          <w:szCs w:val="24"/>
        </w:rPr>
      </w:pPr>
      <w:bookmarkStart w:id="3" w:name="_Toc533097877"/>
      <w:bookmarkStart w:id="4" w:name="_Toc8645916"/>
      <w:r w:rsidRPr="000F1EF7">
        <w:rPr>
          <w:i/>
          <w:sz w:val="24"/>
          <w:szCs w:val="24"/>
        </w:rPr>
        <w:t>Hypothesis</w:t>
      </w:r>
      <w:bookmarkEnd w:id="3"/>
      <w:bookmarkEnd w:id="4"/>
    </w:p>
    <w:p w14:paraId="65423CF5" w14:textId="77777777"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H</w:t>
      </w:r>
      <w:r w:rsidRPr="005B271F">
        <w:rPr>
          <w:rFonts w:ascii="Times New Roman" w:eastAsia="Times New Roman" w:hAnsi="Times New Roman" w:cs="Times New Roman"/>
          <w:sz w:val="24"/>
          <w:szCs w:val="24"/>
          <w:vertAlign w:val="subscript"/>
        </w:rPr>
        <w:t>1</w:t>
      </w:r>
      <w:r w:rsidRPr="00985BDC">
        <w:rPr>
          <w:rFonts w:ascii="Times New Roman" w:eastAsia="Times New Roman" w:hAnsi="Times New Roman" w:cs="Times New Roman"/>
          <w:sz w:val="24"/>
          <w:szCs w:val="24"/>
        </w:rPr>
        <w:t>: There is a significant positive relationship between the price and customer switching behaviour in investment banking sector.</w:t>
      </w:r>
    </w:p>
    <w:p w14:paraId="39297E7D" w14:textId="77777777" w:rsidR="000A59E5" w:rsidRPr="00985BDC" w:rsidRDefault="000A59E5" w:rsidP="00CF29E2">
      <w:pPr>
        <w:spacing w:line="240" w:lineRule="auto"/>
        <w:jc w:val="both"/>
        <w:rPr>
          <w:rFonts w:ascii="Times New Roman" w:eastAsia="Times New Roman" w:hAnsi="Times New Roman" w:cs="Times New Roman"/>
          <w:color w:val="444444"/>
          <w:spacing w:val="5"/>
          <w:sz w:val="24"/>
          <w:szCs w:val="24"/>
          <w:lang w:eastAsia="en-MY"/>
        </w:rPr>
      </w:pPr>
      <w:r w:rsidRPr="00985BDC">
        <w:rPr>
          <w:rFonts w:ascii="Times New Roman" w:eastAsia="Times New Roman" w:hAnsi="Times New Roman" w:cs="Times New Roman"/>
          <w:sz w:val="24"/>
          <w:szCs w:val="24"/>
        </w:rPr>
        <w:t xml:space="preserve">Price is a crucial aspect in decisions circumstances as a buyer’s choice regularly depend intensely on cost of options (Engel et al.,1995). Keaveney’s (1995) in his original research said that the ‘pricing’ is also a crucial factor that include all basic exchanging practises that consists of cost, rates, charges, benefit charges, service charges, drawbacks, and broadcasting. For </w:t>
      </w:r>
      <w:r w:rsidRPr="00985BDC">
        <w:rPr>
          <w:rFonts w:ascii="Times New Roman" w:eastAsia="Times New Roman" w:hAnsi="Times New Roman" w:cs="Times New Roman"/>
          <w:sz w:val="24"/>
          <w:szCs w:val="24"/>
        </w:rPr>
        <w:lastRenderedPageBreak/>
        <w:t xml:space="preserve">example in the monetary service industry, cost include expense usage, bank charges and loan fees charged and paid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{"citationItems":[{"id":"ITEM-1","itemData":{"DOI":"10.1108/08876040410536512","ISSN":"0887-6045","author":[{"dropping-particle":"","family":"Gerrard","given":"Philip","non-dropping-particle":"","parse-names":false,"suffix":""},{"dropping-particle":"","family":"Barton Cunningham","given":"J.","non-dropping-particle":"","parse-names":false,"suffix":""}],"container-title":"Journal of Services Marketing","id":"ITEM-1","issue":"3","issued":{"date-parts":[["2004","5"]]},"page":"215-223","title":"Consumer switching behavior in the Asian banking market","type":"article-journal","volume":"18"},"uris":["http://www.mendeley.com/documents/?uuid=aa74810e-1b06-35ef-96a1-cf3193f21ae0"]}],"mendeley":{"formattedCitation":"(Gerrard &amp; Barton Cunningham, 2004)","plainTextFormattedCitation":"(Gerrard &amp; Barton Cunningham, 2004)","previouslyFormattedCitation":"(Gerrard &amp; Barton Cunningham, 2004)"},"properties":{"noteIndex":0},"schema":"https://github.com/citation-style-language/schema/raw/master/csl-citation.json"}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(Gerrard &amp; Barton Cunningham, 2004)</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10.1108/02652320110400888","ISSN":"0265-2323","author":[{"dropping-particle":"","family":"Colgate","given":"Mark","non-dropping-particle":"","parse-names":false,"suffix":""},{"dropping-particle":"","family":"Hedge","given":"Rachel","non-dropping-particle":"","parse-names":false,"suffix":""}],"container-title":"International Journal of Bank Marketing","id":"ITEM-1","issue":"5","issued":{"date-parts":[["2001","9"]]},"page":"201-212","title":"An investigation into the switching process in retail banking services","type":"article-journal","volume":"19"},"uris":["http://www.mendeley.com/documents/?uuid=b7646ab1-56e5-3c9f-b1de-03571a543ae7"]}],"mendeley":{"formattedCitation":"(Colgate &amp; Hedge, 2001)","plainTextFormattedCitation":"(Colgate &amp; Hedge, 2001)","previouslyFormattedCitation":"(Colgate &amp; Hedge, 2001)"},"properties":{"noteIndex":0},"schema":"https://github.com/citation-style-language/schema/raw/master/csl-citation.json"}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(Colgate &amp; Hedge, 2001)</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considered bank clients’ exchanging manner in Australia and New Zealand and distinguished cost as the most vital exchanging factor, trailed by service failures and disavowal of services. Same as result by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{"citationItems":[{"id":"ITEM-1","itemData":{"DOI":"10.1016/0148-2963(89)90039-8","ISBN":"0941-4355, 1433-7339","ISSN":"01482963","PMID":"29168036","abstract":"Bank decision makers depend on being able to identify and understand customer preferences in order to decide what programs and services the bank should offer. The Analytic Hierarchy Process (AHP) provides bank managers with the ability to integrate the multiattribute preferences of consumers using a hierarchical model to determine the bank's relative position in the marketplace. The suitability of AHP in examining bank selection by consumers for managerial decision making is demonstrated using an empirical analysis in a major metropolitan area. Implications of the findings of this analysis for strategic planning in the areas of marketing mix and organizational characteristics of a bank are explored. Suggestions for application of AHP to other areas of financial services management are included. © 1989.","author":[{"dropping-particle":"","family":"Javalgi","given":"Rajshekhar G.","non-dropping-particle":"","parse-names":false,"suffix":""},{"dropping-particle":"","family":"Armacost","given":"Robert L.","non-dropping-particle":"","parse-names":false,"suffix":""},{"dropping-particle":"","family":"Hosseini","given":"Jamshid C.","non-dropping-particle":"","parse-names":false,"suffix":""}],"container-title":"Journal of Business Research","id":"ITEM-1","issue":"1","issued":{"date-parts":[["1989"]]},"page":"33-49","title":"Using the analytic hierarchy process for bank management: Analysis of consumer bank selection decisions","type":"article-journal","volume":"19"},"uris":["http://www.mendeley.com/documents/?uuid=f3f27300-e5d2-4890-9097-6235b1a6061d"]}],"mendeley":{"formattedCitation":"(Javalgi, Armacost, &amp; Hosseini, 1989)","plainTextFormattedCitation":"(Javalgi, Armacost, &amp; Hosseini, 1989)","previouslyFormattedCitation":"(Javalgi, Armacost, &amp; Hosseini, 1989)"},"properties":{"noteIndex":0},"schema":"https://github.com/citation-style-language/schema/raw/master/csl-citation.json"}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(Javalgi, Armacost, &amp; Hosseini, 1989)</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that investigated the aspects affecting clients’ bank determination choices in the USA. Generally, negative value perceptions can influence clients to switch banks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{"citationItems":[{"id":"ITEM-1","itemData":{"ISBN":"0000000256","ISSN":"19917074","abstract":"Global deregulation of the banking industry that began in the early 1980s has contributed to increased customer switch-ing. This situation is also evident in the New Zealand banking industry. However, limited research has been published in academic marketing journals focusing on switching behavior in the banking industry. This study identifies and ex-amines the factors that contribute to bank switching in New Zealand from the customer's perspective. Data for this study were obtained through a mail survey sent to 1,960 households in Christchurch, New Zealand. Logistic regression is used to analyze the data and determine the impact the factors have on customer switching behavior in New Zealand. The logistic regression results confirm that customer commitment, service quality, reputation, customer satisfac-tion, young-age, and low educational level are the most likely factors that contribute to customers' switching banks.","author":[{"dropping-particle":"","family":"Zheng","given":"Li Yan","non-dropping-particle":"","parse-names":false,"suffix":""}],"container-title":"Banks and Bank System","id":"ITEM-1","issue":"4","issued":{"date-parts":[["2007"]]},"page":"52","title":"Customer switching behavior in the New Zealand banking industry","type":"article-journal","volume":"2"},"uris":["http://www.mendeley.com/documents/?uuid=f3931bb6-68e7-4e29-9cf7-8d454c88e2bc"]}],"mendeley":{"formattedCitation":"(Zheng, 2007)","plainTextFormattedCitation":"(Zheng, 2007)","previouslyFormattedCitation":"(Zheng, 2007)"},"properties":{"noteIndex":0},"schema":"https://github.com/citation-style-language/schema/raw/master/csl-citation.json"}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(Zheng, 2007)</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w:t>
      </w:r>
    </w:p>
    <w:p w14:paraId="07E64214" w14:textId="77777777"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H</w:t>
      </w:r>
      <w:r w:rsidRPr="005B271F">
        <w:rPr>
          <w:rFonts w:ascii="Times New Roman" w:eastAsia="Times New Roman" w:hAnsi="Times New Roman" w:cs="Times New Roman"/>
          <w:sz w:val="24"/>
          <w:szCs w:val="24"/>
          <w:vertAlign w:val="subscript"/>
        </w:rPr>
        <w:t>2</w:t>
      </w:r>
      <w:r w:rsidRPr="00985BDC">
        <w:rPr>
          <w:rFonts w:ascii="Times New Roman" w:eastAsia="Times New Roman" w:hAnsi="Times New Roman" w:cs="Times New Roman"/>
          <w:sz w:val="24"/>
          <w:szCs w:val="24"/>
        </w:rPr>
        <w:t>: There is a significant positive relationship between the reputation and customer switching behaviour in investment banking sector.</w:t>
      </w:r>
    </w:p>
    <w:p w14:paraId="2781A361" w14:textId="77777777"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A social character and crucial and immaterial reference that can extraordinarily add to a company’s execution and survival, can be defined as reputation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{"citationItems":[{"id":"ITEM-1","itemData":{"author":[{"dropping-particle":"","family":"Yoon","given":"Eunsang","non-dropping-particle":"","parse-names":false,"suffix":""},{"dropping-particle":"","family":"Guffey","given":"Hugh J","non-dropping-particle":"","parse-names":false,"suffix":""},{"dropping-particle":"","family":"Kijewski","given":"Valerie","non-dropping-particle":"","parse-names":false,"suffix":""}],"id":"ITEM-1","issued":{"date-parts":[["1993"]]},"page":"215-228","title":"The Effects of Information and Company Reputation on Intentions to Buy a Business Service","type":"article-journal","volume":"228"},"uris":["http://www.mendeley.com/documents/?uuid=76cdc0e0-746f-4c77-b72d-3b79441061dd"]}],"mendeley":{"formattedCitation":"(Yoon, Guffey, &amp; Kijewski, 1993)","plainTextFormattedCitation":"(Yoon, Guffey, &amp; Kijewski, 1993)","previouslyFormattedCitation":"(Yoon, Guffey, &amp; Kijewski, 1993)"},"properties":{"noteIndex":0},"schema":"https://github.com/citation-style-language/schema/raw/master/csl-citation.json"}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(Yoon, Guffey, &amp; Kijewski, 1993)</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 A good notoriety can encourage consumer to be loyal particularly in the retail banking industry, where quality cannot be evaluate precisely before buy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{"citationItems":[{"id":"ITEM-1","itemData":{"DOI":"10.1016/S1441-3582(04)70109-3","ISBN":"1094-6705","ISSN":"14413582","PMID":"817021021","abstract":"Using a mall-intercept survey of 116 female Grace Bros. customers who had had a shopping experience at the upmarket department store in the previous six months, Andreassen and Lindestad's (1998) model of corporate image and its influence on customer loyalty was evaluated using path analysis. The results are generally consistent with the previous study, with corporate image having a significant impact on core service and customer satisfaction perceptions. Corporate image was found to have only a marginally significant direct influence on customer loyalty, though the total effects of corporate image (both direct and indirect) on customer loyalty are much more substantial. © 2004 Australian and New Zealand Marketing Academy.","author":[{"dropping-particle":"","family":"Hart","given":"Allison E.","non-dropping-particle":"","parse-names":false,"suffix":""},{"dropping-particle":"","family":"Rosenberger","given":"Philip J.","non-dropping-particle":"","parse-names":false,"suffix":""}],"container-title":"Australasian Marketing Journal","id":"ITEM-1","issue":"3","issued":{"date-parts":[["2004"]]},"page":"88-96","title":"The effect of corporate image in the formation of customer loyalty: An Australian replication","type":"article-journal","volume":"12"},"uris":["http://www.mendeley.com/documents/?uuid=d770f791-8978-4571-9a29-1663be804be5"]}],"mendeley":{"formattedCitation":"(Hart &amp; Rosenberger, 2004)","plainTextFormattedCitation":"(Hart &amp; Rosenberger, 2004)","previouslyFormattedCitation":"(Hart &amp; Rosenberger, 2004)"},"properties":{"noteIndex":0},"schema":"https://github.com/citation-style-language/schema/raw/master/csl-citation.json"}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(Hart &amp; Rosenberger, 2004)</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{"citationItems":[{"id":"ITEM-1","itemData":{"DOI":"10.1080/23808985.1996.11678934","author":[{"dropping-particle":"","family":"Elt","given":"Keith Welg","non-dropping-particle":"","parse-names":false,"suffix":""}],"container-title":"Management","id":"ITEM-1","issue":"September 1987","issued":{"date-parts":[["1988"]]},"title":"Review of Recent Theory and Applications","type":"article-journal","volume":"9"},"uris":["http://www.mendeley.com/documents/?uuid=b3392a0f-7dab-46d5-84ae-f5810319ff52"]}],"mendeley":{"formattedCitation":"(Elt, 1988)","plainTextFormattedCitation":"(Elt, 1988)","previouslyFormattedCitation":"(Elt, 1988)"},"properties":{"noteIndex":0},"schema":"https://github.com/citation-style-language/schema/raw/master/csl-citation.json"}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(Elt, 1988)</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discover that a positive notoriety is a vital instrument that used by banks to procure additional profits.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10.1108/09604520310456726","ISSN":"0960-4529","author":[{"dropping-particle":"","family":"Wang","given":"Yonggui","non-dropping-particle":"","parse-names":false,"suffix":""},{"dropping-particle":"","family":"Lo","given":"Hing‐P.","non-dropping-particle":"","parse-names":false,"suffix":""},{"dropping-particle":"V.","family":"Hui","given":"Yer","non-dropping-particle":"","parse-names":false,"suffix":""}],"container-title":"Managing Service Quality: An International Journal","id":"ITEM-1","issue":"1","issued":{"date-parts":[["2003","2"]]},"page":"72-83","title":"The antecedents of service quality and product quality and their influences on bank reputation: evidence from the banking industry in China","type":"article-journal","volume":"13"},"uris":["http://www.mendeley.com/documents/?uuid=52a1c827-9c52-396a-b44a-bbb9799e95a4"]}],"mendeley":{"formattedCitation":"(Wang, Lo, &amp; Hui, 2003)","plainTextFormattedCitation":"(Wang, Lo, &amp; Hui, 2003)","previouslyFormattedCitation":"(Wang, Lo, &amp; Hui, 2003)"},"properties":{"noteIndex":0},"schema":"https://github.com/citation-style-language/schema/raw/master/csl-citation.json"}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(Wang, Lo, &amp; Hui, 2003)</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recommended that a banks’ notoriety play an important role in clarifying the buying and buy back behaviour of consumers.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{"citationItems":[{"id":"ITEM-1","itemData":{"DOI":"10.1016/0148-2963(89)90039-8","ISBN":"0941-4355, 1433-7339","ISSN":"01482963","PMID":"29168036","abstract":"Bank decision makers depend on being able to identify and understand customer preferences in order to decide what programs and services the bank should offer. The Analytic Hierarchy Process (AHP) provides bank managers with the ability to integrate the multiattribute preferences of consumers using a hierarchical model to determine the bank's relative position in the marketplace. The suitability of AHP in examining bank selection by consumers for managerial decision making is demonstrated using an empirical analysis in a major metropolitan area. Implications of the findings of this analysis for strategic planning in the areas of marketing mix and organizational characteristics of a bank are explored. Suggestions for application of AHP to other areas of financial services management are included. © 1989.","author":[{"dropping-particle":"","family":"Javalgi","given":"Rajshekhar G.","non-dropping-particle":"","parse-names":false,"suffix":""},{"dropping-particle":"","family":"Armacost","given":"Robert L.","non-dropping-particle":"","parse-names":false,"suffix":""},{"dropping-particle":"","family":"Hosseini","given":"Jamshid C.","non-dropping-particle":"","parse-names":false,"suffix":""}],"container-title":"Journal of Business Research","id":"ITEM-1","issue":"1","issued":{"date-parts":[["1989"]]},"page":"33-49","title":"Using the analytic hierarchy process for bank management: Analysis of consumer bank selection decisions","type":"article-journal","volume":"19"},"uris":["http://www.mendeley.com/documents/?uuid=f3f27300-e5d2-4890-9097-6235b1a6061d"]}],"mendeley":{"formattedCitation":"(Javalgi et al., 1989)","plainTextFormattedCitation":"(Javalgi et al., 1989)","previouslyFormattedCitation":"(Javalgi et al., 1989)"},"properties":{"noteIndex":0},"schema":"https://github.com/citation-style-language/schema/raw/master/csl-citation.json"}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(Javalgi et al., 1989)</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show that bank consumers’ determination choices can be influence by a bank’s notoriety. A decent notoriety can intensify the belief of customers towards bank while an unpleasant notoriety can level up the likelihood of the choice to switch banks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{"citationItems":[{"id":"ITEM-1","itemData":{"ISBN":"0000000256","ISSN":"19917074","abstract":"Global deregulation of the banking industry that began in the early 1980s has contributed to increased customer switch-ing. This situation is also evident in the New Zealand banking industry. However, limited research has been published in academic marketing journals focusing on switching behavior in the banking industry. This study identifies and ex-amines the factors that contribute to bank switching in New Zealand from the customer's perspective. Data for this study were obtained through a mail survey sent to 1,960 households in Christchurch, New Zealand. Logistic regression is used to analyze the data and determine the impact the factors have on customer switching behavior in New Zealand. The logistic regression results confirm that customer commitment, service quality, reputation, customer satisfac-tion, young-age, and low educational level are the most likely factors that contribute to customers' switching banks.","author":[{"dropping-particle":"","family":"Zheng","given":"Li Yan","non-dropping-particle":"","parse-names":false,"suffix":""}],"container-title":"Banks and Bank System","id":"ITEM-1","issue":"4","issued":{"date-parts":[["2007"]]},"page":"52","title":"Customer switching behavior in the New Zealand banking industry","type":"article-journal","volume":"2"},"uris":["http://www.mendeley.com/documents/?uuid=f3931bb6-68e7-4e29-9cf7-8d454c88e2bc"]}],"mendeley":{"formattedCitation":"(Zheng, 2007)","plainTextFormattedCitation":"(Zheng, 2007)","previouslyFormattedCitation":"(Zheng, 2007)"},"properties":{"noteIndex":0},"schema":"https://github.com/citation-style-language/schema/raw/master/csl-citation.json"}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(Zheng, 2007)</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w:t>
      </w:r>
    </w:p>
    <w:p w14:paraId="336576DD" w14:textId="77777777"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H</w:t>
      </w:r>
      <w:r w:rsidRPr="005B271F">
        <w:rPr>
          <w:rFonts w:ascii="Times New Roman" w:eastAsia="Times New Roman" w:hAnsi="Times New Roman" w:cs="Times New Roman"/>
          <w:sz w:val="24"/>
          <w:szCs w:val="24"/>
          <w:vertAlign w:val="subscript"/>
        </w:rPr>
        <w:t>3</w:t>
      </w:r>
      <w:r w:rsidRPr="00985BDC">
        <w:rPr>
          <w:rFonts w:ascii="Times New Roman" w:eastAsia="Times New Roman" w:hAnsi="Times New Roman" w:cs="Times New Roman"/>
          <w:sz w:val="24"/>
          <w:szCs w:val="24"/>
        </w:rPr>
        <w:t>: There is a significant positive relationship between the service quality and customer switching behaviour in investment banking sector.</w:t>
      </w:r>
    </w:p>
    <w:p w14:paraId="568DBFB8" w14:textId="77777777"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There have been numerous of studies that focusing on irreplaceable role of service quality in retail banking and also its estimation. A soliciting of these compositions demonstrates that almost majority measure service quality by duplicating or adjusting Parasuraman et al.’ s (1988) five measurement SERVQUAL display </w:t>
      </w:r>
      <w:r w:rsidRPr="00985BDC">
        <w:rPr>
          <w:rFonts w:ascii="Times New Roman" w:eastAsia="Times New Roman" w:hAnsi="Times New Roman" w:cs="Times New Roman"/>
          <w:b/>
          <w:sz w:val="24"/>
          <w:szCs w:val="24"/>
        </w:rPr>
        <w:fldChar w:fldCharType="begin" w:fldLock="1"/>
      </w:r>
      <w:r w:rsidRPr="00985BDC">
        <w:rPr>
          <w:rFonts w:ascii="Times New Roman" w:eastAsia="Times New Roman" w:hAnsi="Times New Roman" w:cs="Times New Roman"/>
          <w:b/>
          <w:sz w:val="24"/>
          <w:szCs w:val="24"/>
        </w:rPr>
        <w:instrText>ADDIN CSL_CITATION {"citationItems":[{"id":"ITEM-1","itemData":{"DOI":"10.1108/02640470210447801","ISBN":"00224359","ISSN":"00224359","PMID":"6353339","abstract":"`","author":[{"dropping-particle":"","family":"Valarie","given":"A","non-dropping-particle":"","parse-names":false,"suffix":""},{"dropping-particle":"","family":"Leonard","given":"L","non-dropping-particle":"","parse-names":false,"suffix":""}],"container-title":"Journal of Retailing","id":"ITEM-1","issued":{"date-parts":[["1988"]]},"page":"12","title":"Servqual : A Multiple-Item Scale For Measuring Consumer Perc","type":"article-journal","volume":"64"},"uris":["http://www.mendeley.com/documents/?uuid=ddb216ed-ce52-4ca5-ba09-30653e33d5d0"]}],"mendeley":{"formattedCitation":"(Valarie &amp; Leonard, 1988)","plainTextFormattedCitation":"(Valarie &amp; Leonard, 1988)","previouslyFormattedCitation":"(Valarie &amp; Leonard, 1988)"},"properties":{"noteIndex":0},"schema":"https://github.com/citation-style-language/schema/raw/master/csl-citation.json"}</w:instrText>
      </w:r>
      <w:r w:rsidRPr="00985BDC">
        <w:rPr>
          <w:rFonts w:ascii="Times New Roman" w:eastAsia="Times New Roman" w:hAnsi="Times New Roman" w:cs="Times New Roman"/>
          <w:b/>
          <w:sz w:val="24"/>
          <w:szCs w:val="24"/>
        </w:rPr>
        <w:fldChar w:fldCharType="separate"/>
      </w:r>
      <w:r w:rsidRPr="00985BDC">
        <w:rPr>
          <w:rFonts w:ascii="Times New Roman" w:eastAsia="Times New Roman" w:hAnsi="Times New Roman" w:cs="Times New Roman"/>
          <w:noProof/>
          <w:sz w:val="24"/>
          <w:szCs w:val="24"/>
        </w:rPr>
        <w:t>(Valarie &amp; Leonard, 1988)</w:t>
      </w:r>
      <w:r w:rsidRPr="00985BDC">
        <w:rPr>
          <w:rFonts w:ascii="Times New Roman" w:eastAsia="Times New Roman" w:hAnsi="Times New Roman" w:cs="Times New Roman"/>
          <w:b/>
          <w:sz w:val="24"/>
          <w:szCs w:val="24"/>
        </w:rPr>
        <w:fldChar w:fldCharType="end"/>
      </w:r>
      <w:r w:rsidRPr="00985BDC">
        <w:rPr>
          <w:rFonts w:ascii="Times New Roman" w:eastAsia="Times New Roman" w:hAnsi="Times New Roman" w:cs="Times New Roman"/>
          <w:b/>
          <w:sz w:val="24"/>
          <w:szCs w:val="24"/>
        </w:rPr>
        <w:t>.</w:t>
      </w:r>
      <w:r w:rsidRPr="00985BDC">
        <w:rPr>
          <w:rFonts w:ascii="Times New Roman" w:eastAsia="Times New Roman" w:hAnsi="Times New Roman" w:cs="Times New Roman"/>
          <w:sz w:val="24"/>
          <w:szCs w:val="24"/>
        </w:rPr>
        <w:t xml:space="preserve">For instance, in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{"citationItems":[{"id":"ITEM-1","itemData":{"DOI":"10.1108/02652320410521737","ISBN":"0265232021043","ISSN":"02652323","PMID":"231357497","abstract":"Relationships between service quality and behavioral outcomes: A study of private bank customers in Germany","author":[{"dropping-particle":"","family":"Yavas","given":"Ugur","non-dropping-particle":"","parse-names":false,"suffix":""},{"dropping-particle":"","family":"Benkenstein","given":"Martin","non-dropping-particle":"","parse-names":false,"suffix":""},{"dropping-particle":"","family":"Stuhldreier","given":"Uwe","non-dropping-particle":"","parse-names":false,"suffix":""}],"container-title":"International Journal of Bank Marketing","id":"ITEM-1","issue":"2","issued":{"date-parts":[["2004"]]},"page":"144-157","title":"Relationships between service quality and behavioral outcomes: A study of private bank customers in Germany","type":"article-journal","volume":"22"},"uris":["http://www.mendeley.com/documents/?uuid=5c46a663-0526-4cdb-87cf-74c586416726"]}],"mendeley":{"formattedCitation":"(Yavas, Benkenstein, &amp; Stuhldreier, 2004)","plainTextFormattedCitation":"(Yavas, Benkenstein, &amp; Stuhldreier, 2004)","previouslyFormattedCitation":"(Yavas, Benkenstein, &amp; Stuhldreier, 2004)"},"properties":{"noteIndex":0},"schema":"https://github.com/citation-style-language/schema/raw/master/csl-citation.json"}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(Yavas, Benkenstein, &amp; Stuhldreier, 2004)</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{"citationItems":[{"id":"ITEM-1","itemData":{"DOI":"10.6100/IR553634","ISBN":"90–386–1900–6","abstract":"Link to publication Citation for published version (APA): Balenovic, M. (2002). Modeling and model-based control of a three-way catalytic converter Eindhoven:","author":[{"dropping-particle":"","family":"Balenovi","given":"Mario","non-dropping-particle":"","parse-names":false,"suffix":""}],"container-title":"ProQuest Dissertations and Theses","id":"ITEM-1","issued":{"date-parts":[["2002"]]},"title":"Modeling and Model-Based Control of a Three-Way Catalytic Converter door","type":"article-journal"},"uris":["http://www.mendeley.com/documents/?uuid=9373d929-8b28-47f8-9637-c20a05fd97af"]}],"mendeley":{"formattedCitation":"(Balenovi, 2002)","plainTextFormattedCitation":"(Balenovi, 2002)","previouslyFormattedCitation":"(Balenovi, 2002)"},"properties":{"noteIndex":0},"schema":"https://github.com/citation-style-language/schema/raw/master/csl-citation.json"}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(Balenovi, 2002)</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{"citationItems":[{"id":"ITEM-1","itemData":{"DOI":"10.1016/S0377-2217(96)00349-9","ISBN":"0377-2217","ISSN":"03772217","abstract":"In this paper we concentrate on the assessment of the productive efficiency of bank branches. Bank branch operations are characterised by the effort made by management to pursue the banks' corporate objectives. The tangible part of this effort can be assessed by the operating efficiency of the branch while the intangible part is encapsulated by the quality of the provided services. The assessment of branch efficiency is pursued using data envelopment analysis methods enhanced by the value judgements of individual branch managers. This development gives insights on issues related to the appropriateness of branch input mix. The effort effectiveness is estimated by embodying three quality dimensions on the operating efficiency of bank branches. Empirical results are discussed from a sample of sixty eight commercial bank branches in Greece. © 1997 Published by Elsevier Science B.V.","author":[{"dropping-particle":"","family":"Athanassopoulos","given":"Antreas D.","non-dropping-particle":"","parse-names":false,"suffix":""}],"container-title":"European Journal of Operational Research","id":"ITEM-1","issue":"2","issued":{"date-parts":[["1997"]]},"page":"300-313","title":"Service quality and operating efficiency synergies for management control in the provision of financial services: Evidence from Greek bank branches","type":"article-journal","volume":"98"},"uris":["http://www.mendeley.com/documents/?uuid=84820fce-0502-495d-ac64-29c5660bb0a6"]}],"mendeley":{"formattedCitation":"(Athanassopoulos, 1997)","plainTextFormattedCitation":"(Athanassopoulos, 1997)","previouslyFormattedCitation":"(Athanassopoulos, 1997)"},"properties":{"noteIndex":0},"schema":"https://github.com/citation-style-language/schema/raw/master/csl-citation.json"}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(Athanassopoulos, 1997)</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{"citationItems":[{"id":"ITEM-1","itemData":{"DOI":"10.1108/09564239810199923","ISBN":"0956423981","ISSN":"0956-4233","abstract":"Purpose: The objective is two-fold. The first is to describe contemporary and future\\r\\npenetration (i.e. analysis and understanding) in service encounter research. The other is to\\r\\ndescribe contemporary and future abstraction in service quality research.\\r\\nDesign/methodology/approach: The paper provides a conceptual discussion of new aspects of research\\r\\ninto service encounters and service quality. Findings: There are still flaws in the contemporary\\r\\npenetration of service encounters and the contemporary abstraction of the service quality\\r\\nconstruct. Research limitations/implications: Service encounters and service quality pertain not\\r\\nonly to human interactions, but also to the interaction between individuals and self-service\\r\\ntechnology. The new aspects of service encounters and service quality described here are restricted\\r\\nto the interaction between individuals. It is argued that an extended penetration of service\\r\\nencounters, and an extended abstraction of the service quality construct, taken together, provide\\r\\ngreat potential for future research opportunities in services marketing. Practical implications:\\r\\nThe aspects of penetration discussed here have the potential to provide a more sophisticated\\r\\nunderstanding of the complexity and dynamics of service encounters. The aspects of abstraction\\r\\ndescribed here have the potential to contribute to a more sophisticated level of measurement of the\\r\\nservice quality construct. Originality/value: A two-fold approach is suggested that goes beyond the\\r\\ncurrent state of the art in terms of penetration of service encounters and abstraction of the\\r\\nservice quality construct. This is likely to trigger and encourage innovative research designs and\\r\\nalternative methodological approaches to new research problems. This might also stimulate\\r\\ninnovative analytical techniques that could produce groundbreaking research findings, with\\r\\nimportant implications for practice.","author":[{"dropping-particle":"","family":"Bennett","given":"Roger","non-dropping-particle":"","parse-names":false,"suffix":""},{"dropping-particle":"","family":"Barkensjo","given":"Anna","non-dropping-particle":"","parse-names":false,"suffix":""}],"container-title":"Risk Management in a Service Business","id":"ITEM-1","issue":"2","issued":{"date-parts":[["2005"]]},"page":"81-106","title":"International Journal of Service Industry Management","type":"article-journal","volume":"2"},"uris":["http://www.mendeley.com/documents/?uuid=a3636e90-56af-479c-940f-7be3871b818d"]}],"mendeley":{"formattedCitation":"(Bennett &amp; Barkensjo, 2005)","plainTextFormattedCitation":"(Bennett &amp; Barkensjo, 2005)","previouslyFormattedCitation":"(Bennett &amp; Barkensjo, 2005)"},"properties":{"noteIndex":0},"schema":"https://github.com/citation-style-language/schema/raw/master/csl-citation.json"}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(Bennett &amp; Barkensjo, 2005)</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Yet, a small part of writings, exhibits new models or methods to the determination of service quality in banking such as, (Mersha and Adlaka, 1992)</w:t>
      </w:r>
      <w:r w:rsidRPr="00985BDC">
        <w:rPr>
          <w:rFonts w:ascii="Times New Roman" w:eastAsia="Times New Roman" w:hAnsi="Times New Roman" w:cs="Times New Roman"/>
          <w:b/>
          <w:sz w:val="24"/>
          <w:szCs w:val="24"/>
        </w:rPr>
        <w:t xml:space="preserve"> </w:t>
      </w:r>
      <w:r w:rsidRPr="00985BDC">
        <w:rPr>
          <w:rFonts w:ascii="Times New Roman" w:eastAsia="Times New Roman" w:hAnsi="Times New Roman" w:cs="Times New Roman"/>
          <w:sz w:val="24"/>
          <w:szCs w:val="24"/>
        </w:rPr>
        <w:t xml:space="preserve">practice the Delhi methods to a sample of MBA understudies. This is because in order to create attributes of poor and good service quality. Service provider can be the elements of collaboration quality, physical condition quality, physical environment quality as well as results quality in a progressive setting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{"citationItems":[{"id":"ITEM-1","itemData":{"DOI":"10.1108/02652321011085185","ISSN":"0265-2323","author":[{"dropping-particle":"","family":"Clemes","given":"Michael D.","non-dropping-particle":"","parse-names":false,"suffix":""},{"dropping-particle":"","family":"Gan","given":"Christopher","non-dropping-particle":"","parse-names":false,"suffix":""},{"dropping-particle":"","family":"Zhang","given":"Dongmei","non-dropping-particle":"","parse-names":false,"suffix":""}],"container-title":"International Journal of Bank Marketing","id":"ITEM-1","issue":"7","issued":{"date-parts":[["2010","10","12"]]},"page":"519-546","title":"Customer switching behaviour in the Chinese retail banking industry","type":"article-journal","volume":"28"},"uris":["http://www.mendeley.com/documents/?uuid=ab5ecfb3-8a6f-3f53-9241-34d5de8b1220"]}],"mendeley":{"formattedCitation":"(Clemes, Gan, &amp; Zhang, 2010)","plainTextFormattedCitation":"(Clemes, Gan, &amp; Zhang, 2010)","previouslyFormattedCitation":"(Clemes, Gan, &amp; Zhang, 2010)"},"properties":{"noteIndex":0},"schema":"https://github.com/citation-style-language/schema/raw/master/csl-citation.json"}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(Clemes, Gan, &amp; Zhang, 2010)</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10.1108/03074350810848063","ISSN":"0307-4358","author":[{"dropping-particle":"","family":"Mavri","given":"Maria","non-dropping-particle":"","parse-names":false,"suffix":""},{"dropping-particle":"","family":"Ioannou","given":"George","non-dropping-particle":"","parse-names":false,"suffix":""}],"container-title":"Managerial Finance","editor":[{"dropping-particle":"","family":"Zopounidis","given":"Constantin","non-dropping-particle":"","parse-names":false,"suffix":""}],"id":"ITEM-1","issue":"3","issued":{"date-parts":[["2008","2","15"]]},"page":"186-197","title":"Customer switching behaviour in Greek banking services using survival analysis","type":"article-journal","volume":"34"},"uris":["http://www.mendeley.com/documents/?uuid=c0154a3c-e155-3701-ad78-ceb43cca9e0c"]}],"mendeley":{"formattedCitation":"(Mavri &amp; Ioannou, 2008)","plainTextFormattedCitation":"(Mavri &amp; Ioannou, 2008)","previouslyFormattedCitation":"(Mavri &amp; Ioannou, 2008)"},"properties":{"noteIndex":0},"schema":"https://github.com/citation-style-language/schema/raw/master/csl-citation.json"}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(Mavri &amp; Ioannou, 2008)</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examined clients’ exchanging conduct in Greek and found that the quality of banking products and services on supplied had a positively affected tumbling down of exchanging conduct.</w:t>
      </w:r>
    </w:p>
    <w:p w14:paraId="1700E1F8" w14:textId="77777777"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H</w:t>
      </w:r>
      <w:r w:rsidRPr="005B271F">
        <w:rPr>
          <w:rFonts w:ascii="Times New Roman" w:eastAsia="Times New Roman" w:hAnsi="Times New Roman" w:cs="Times New Roman"/>
          <w:sz w:val="24"/>
          <w:szCs w:val="24"/>
          <w:vertAlign w:val="subscript"/>
        </w:rPr>
        <w:t>4</w:t>
      </w:r>
      <w:r w:rsidRPr="00985BDC">
        <w:rPr>
          <w:rFonts w:ascii="Times New Roman" w:eastAsia="Times New Roman" w:hAnsi="Times New Roman" w:cs="Times New Roman"/>
          <w:sz w:val="24"/>
          <w:szCs w:val="24"/>
        </w:rPr>
        <w:t>: There is a significant positive relationship between the advertising and customer switching behaviour in investment banking sector.</w:t>
      </w:r>
    </w:p>
    <w:p w14:paraId="17E99EB1" w14:textId="2F3B32DC"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An </w:t>
      </w:r>
      <w:r w:rsidR="00C4022A" w:rsidRPr="00985BDC">
        <w:rPr>
          <w:rFonts w:ascii="Times New Roman" w:eastAsia="Times New Roman" w:hAnsi="Times New Roman" w:cs="Times New Roman"/>
          <w:sz w:val="24"/>
          <w:szCs w:val="24"/>
        </w:rPr>
        <w:t>essential role</w:t>
      </w:r>
      <w:r w:rsidRPr="00985BDC">
        <w:rPr>
          <w:rFonts w:ascii="Times New Roman" w:eastAsia="Times New Roman" w:hAnsi="Times New Roman" w:cs="Times New Roman"/>
          <w:sz w:val="24"/>
          <w:szCs w:val="24"/>
        </w:rPr>
        <w:t xml:space="preserve"> in influencing clients to a business and furthermore in keeping </w:t>
      </w:r>
      <w:r w:rsidR="00C4022A" w:rsidRPr="00985BDC">
        <w:rPr>
          <w:rFonts w:ascii="Times New Roman" w:eastAsia="Times New Roman" w:hAnsi="Times New Roman" w:cs="Times New Roman"/>
          <w:sz w:val="24"/>
          <w:szCs w:val="24"/>
        </w:rPr>
        <w:t>customer’s</w:t>
      </w:r>
      <w:r w:rsidRPr="00985BDC">
        <w:rPr>
          <w:rFonts w:ascii="Times New Roman" w:eastAsia="Times New Roman" w:hAnsi="Times New Roman" w:cs="Times New Roman"/>
          <w:sz w:val="24"/>
          <w:szCs w:val="24"/>
        </w:rPr>
        <w:t xml:space="preserve"> numbers within moderate periods, can be used to defined advertising.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{"citationItems":[{"id":"ITEM-1","itemData":{"DOI":"10.1108/00251749610110355","ISSN":"0025-1747","author":[{"dropping-particle":"","family":"Davies","given":"Mark","non-dropping-particle":"","parse-names":false,"suffix":""}],"container-title":"Management Decision","id":"ITEM-1","issue":"2","issued":{"date-parts":[["1996","3"]]},"page":"64-71","title":"Image problems with financial services: some considerations for improvement","type":"article-journal","volume":"34"},"uris":["http://www.mendeley.com/documents/?uuid=74793e34-0ca3-3b1d-a48d-45ba8106a1df"]}],"mendeley":{"formattedCitation":"(Davies, 1996)","plainTextFormattedCitation":"(Davies, 1996)","previouslyFormattedCitation":"(Davies, 1996)"},"properties":{"noteIndex":0},"schema":"https://github.com/citation-style-language/schema/raw/master/csl-citation.json"}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(Davies, 1996)</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says that productive publicizing tightens the correspondence among the organisation and clients and lessen customers’ apparent dangers. A researcher researches bank consumers’ attitude in Turkey an efficient publicizing was found. It may upgrade bank’s consumer dedication and help hold consumers. Generally, a good publicizing adds value, captures the attention of potential customers and also encourage customer loyalty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{"citationItems":[{"id":"ITEM-1","itemData":{"ISBN":"9789386256270","ISSN":"19917074","abstract":"The present study examines the relationships between image, advertising efficiency, customer satisfaction, customer expectation, perceived quality, perceived value, customer complaint and customer loyalty. These variables are increasingly recognised as being sources of competitive advantage. However, little empirical research has been conducted to examine these variables simultaneously and their relationships with post-purchase behaviour especially service organizations like banks. The present study was therefore designed to develop an understanding of the relationships between these variables and their influence on loyalty. An integrative model was developed and tested using data collected from the customers of Turkish banks. The results reveal that bank image and advertising efficiency influence customer loyalty and antecendents of loyalty significantly","author":[{"dropping-particle":"","family":"Mallikarjuna Balichakra, Prasad Krishna, Vamsi Krishna Balla, Mitun Das","given":"and Srikanth Bontha","non-dropping-particle":"","parse-names":false,"suffix":""}],"container-title":"6th International &amp; 27th All India Manufacturing Technology, Design and Research Conference (AIMTDR-2016)","id":"ITEM-1","issue":"1","issued":{"date-parts":[["2016"]]},"page":"0-4","title":"Understanding thermal behavior in laser processing of titanium aluminide Alloys","type":"article-journal","volume":"2"},"uris":["http://www.mendeley.com/documents/?uuid=0c8becb7-513d-48b4-8037-c497a16fe29d"]}],"mendeley":{"formattedCitation":"(Mallikarjuna Balichakra, Prasad Krishna, Vamsi Krishna Balla, Mitun Das, 2016)","plainTextFormattedCitation":"(Mallikarjuna Balichakra, Prasad Krishna, Vamsi Krishna Balla, Mitun Das, 2016)","previouslyFormattedCitation":"(Mallikarjuna Balichakra, Prasad Krishna, Vamsi Krishna Balla, Mitun Das, 2016)"},"properties":{"noteIndex":0},"schema":"https://github.com/citation-style-language/schema/raw/master/csl-citation.json"}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(Mallikarjuna Balichakra, Prasad Krishna, Vamsi Krishna Balla, Mitun Das, 2016)</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Moreover, proficient service broadcasting is relatedly connected with clients’ expectation of advantages and lead their buying conduct.</w:t>
      </w:r>
    </w:p>
    <w:p w14:paraId="7879BD98" w14:textId="77777777"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lastRenderedPageBreak/>
        <w:t>H</w:t>
      </w:r>
      <w:r w:rsidRPr="005B271F">
        <w:rPr>
          <w:rFonts w:ascii="Times New Roman" w:eastAsia="Times New Roman" w:hAnsi="Times New Roman" w:cs="Times New Roman"/>
          <w:sz w:val="24"/>
          <w:szCs w:val="24"/>
          <w:vertAlign w:val="subscript"/>
        </w:rPr>
        <w:t>5</w:t>
      </w:r>
      <w:r w:rsidRPr="00985BDC">
        <w:rPr>
          <w:rFonts w:ascii="Times New Roman" w:eastAsia="Times New Roman" w:hAnsi="Times New Roman" w:cs="Times New Roman"/>
          <w:sz w:val="24"/>
          <w:szCs w:val="24"/>
        </w:rPr>
        <w:t>: There is a significant positive relationship between the involuntary switching and customer switching behaviour in investment banking sector.</w:t>
      </w:r>
    </w:p>
    <w:p w14:paraId="716B737E" w14:textId="3819533D"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Involuntary switching factors can be describe by </w:t>
      </w:r>
      <w:r w:rsidRPr="00985BDC">
        <w:rPr>
          <w:rFonts w:ascii="Times New Roman" w:eastAsia="Times New Roman" w:hAnsi="Times New Roman" w:cs="Times New Roman"/>
          <w:b/>
          <w:sz w:val="24"/>
          <w:szCs w:val="24"/>
        </w:rPr>
        <w:fldChar w:fldCharType="begin" w:fldLock="1"/>
      </w:r>
      <w:r w:rsidRPr="00985BDC">
        <w:rPr>
          <w:rFonts w:ascii="Times New Roman" w:eastAsia="Times New Roman" w:hAnsi="Times New Roman" w:cs="Times New Roman"/>
          <w:b/>
          <w:sz w:val="24"/>
          <w:szCs w:val="24"/>
        </w:rPr>
        <w:instrText>ADDIN CSL_CITATION {"citationItems":[{"id":"ITEM-1","itemData":{"DOI":"10.2307/1252074","ISBN":"00222429","ISSN":"00222429","PMID":"9504245048","abstract":"JSTOR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Customer switching behavior damages market share and profitability of service firms yet has remained virtually un-explored in the marketing literature. The author reports results of a critical incident study conducted among more than 500 service customers. The research identifies more than 800 critical behaviors of service firms that caused customers to switch services. Customers' reasons for switching services were classified into eight general cate-gories. The author then discusses implications for further model development and offers recommendations for man-agers of service firms. ervices marketers know that \"having customers, not","author":[{"dropping-particle":"","family":"Keaveney","given":"Susan M.","non-dropping-particle":"","parse-names":false,"suffix":""}],"container-title":"Journal of Marketing","id":"ITEM-1","issue":"2","issued":{"date-parts":[["1995"]]},"page":"71","title":"Customer Switching Behavior in Service Industries: An Exploratory Study","type":"article-journal","volume":"59"},"uris":["http://www.mendeley.com/documents/?uuid=b3d7bfe6-f2ae-4b79-a951-81084282c303"]}],"mendeley":{"formattedCitation":"(Keaveney, 1995)","plainTextFormattedCitation":"(Keaveney, 1995)","previouslyFormattedCitation":"(Keaveney, 1995)"},"properties":{"noteIndex":0},"schema":"https://github.com/citation-style-language/schema/raw/master/csl-citation.json"}</w:instrText>
      </w:r>
      <w:r w:rsidRPr="00985BDC">
        <w:rPr>
          <w:rFonts w:ascii="Times New Roman" w:eastAsia="Times New Roman" w:hAnsi="Times New Roman" w:cs="Times New Roman"/>
          <w:b/>
          <w:sz w:val="24"/>
          <w:szCs w:val="24"/>
        </w:rPr>
        <w:fldChar w:fldCharType="separate"/>
      </w:r>
      <w:r w:rsidRPr="00985BDC">
        <w:rPr>
          <w:rFonts w:ascii="Times New Roman" w:eastAsia="Times New Roman" w:hAnsi="Times New Roman" w:cs="Times New Roman"/>
          <w:noProof/>
          <w:sz w:val="24"/>
          <w:szCs w:val="24"/>
        </w:rPr>
        <w:t>(Keaveney, 1995)</w:t>
      </w:r>
      <w:r w:rsidRPr="00985BDC">
        <w:rPr>
          <w:rFonts w:ascii="Times New Roman" w:eastAsia="Times New Roman" w:hAnsi="Times New Roman" w:cs="Times New Roman"/>
          <w:b/>
          <w:sz w:val="24"/>
          <w:szCs w:val="24"/>
        </w:rPr>
        <w:fldChar w:fldCharType="end"/>
      </w:r>
      <w:r w:rsidRPr="00985BDC">
        <w:rPr>
          <w:rFonts w:ascii="Times New Roman" w:eastAsia="Times New Roman" w:hAnsi="Times New Roman" w:cs="Times New Roman"/>
          <w:sz w:val="24"/>
          <w:szCs w:val="24"/>
        </w:rPr>
        <w:t xml:space="preserve"> as</w:t>
      </w:r>
      <w:r w:rsidRPr="00985BDC">
        <w:rPr>
          <w:rFonts w:ascii="Times New Roman" w:eastAsia="Times New Roman" w:hAnsi="Times New Roman" w:cs="Times New Roman"/>
          <w:b/>
          <w:sz w:val="24"/>
          <w:szCs w:val="24"/>
        </w:rPr>
        <w:t xml:space="preserve"> </w:t>
      </w:r>
      <w:r w:rsidRPr="00985BDC">
        <w:rPr>
          <w:rFonts w:ascii="Times New Roman" w:eastAsia="Times New Roman" w:hAnsi="Times New Roman" w:cs="Times New Roman"/>
          <w:sz w:val="24"/>
          <w:szCs w:val="24"/>
        </w:rPr>
        <w:t xml:space="preserve">the elements that are out of control of either consumers or service suppliers. Evolving work, moving house or retail branches to being shut in their area of residence are caused that consumer may switch unintentionally. Thus, relocation is out the ability to control of consumers or service suppliers can damage even the most </w:t>
      </w:r>
      <w:r w:rsidR="00C4022A" w:rsidRPr="00985BDC">
        <w:rPr>
          <w:rFonts w:ascii="Times New Roman" w:eastAsia="Times New Roman" w:hAnsi="Times New Roman" w:cs="Times New Roman"/>
          <w:sz w:val="24"/>
          <w:szCs w:val="24"/>
        </w:rPr>
        <w:t>fulfilled service</w:t>
      </w:r>
      <w:r w:rsidRPr="00985BDC">
        <w:rPr>
          <w:rFonts w:ascii="Times New Roman" w:eastAsia="Times New Roman" w:hAnsi="Times New Roman" w:cs="Times New Roman"/>
          <w:sz w:val="24"/>
          <w:szCs w:val="24"/>
        </w:rPr>
        <w:t xml:space="preserve"> relationship (Taylor et al.2009).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{"citationItems":[{"id":"ITEM-1","itemData":{"DOI":"10.1509/jmkg.64.3.65.18028","ISBN":"00222429","ISSN":"0022-2429","PMID":"3383343","abstract":"Creating and maintaining customer loyalty has become a strategic mandate in today's service markets. Recent research suggests that customers differ in their value to a firm, and therefore customer...","author":[{"dropping-particle":"","family":"Ganesh","given":"Jaishankar","non-dropping-particle":"","parse-names":false,"suffix":""},{"dropping-particle":"","family":"Arnold","given":"Mark J.","non-dropping-particle":"","parse-names":false,"suffix":""},{"dropping-particle":"","family":"Reynolds","given":"Kristy E.","non-dropping-particle":"","parse-names":false,"suffix":""}],"container-title":"Journal of Marketing","id":"ITEM-1","issue":"3","issued":{"date-parts":[["2000"]]},"page":"65-87","title":"Understanding the Customer Base of Service Providers: An Examination of the Differences Between Switchers and Stayers","type":"article-journal","volume":"64"},"uris":["http://www.mendeley.com/documents/?uuid=919ab38a-6ac8-44e1-9744-dc4e5fb7dcb2"]}],"mendeley":{"formattedCitation":"(Ganesh, Arnold, &amp; Reynolds, 2000)","plainTextFormattedCitation":"(Ganesh, Arnold, &amp; Reynolds, 2000)","previouslyFormattedCitation":"(Ganesh, Arnold, &amp; Reynolds, 2000)"},"properties":{"noteIndex":0},"schema":"https://github.com/citation-style-language/schema/raw/master/csl-citation.json"}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(Ganesh, Arnold, &amp; Reynolds, 2000)</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discover that automatic or unavoidable exchanging represent most regular switching manner. A bank may offer an ideal service that meet the clients’ requirement. But they may still lose in view of reasons outside the ability to control of either party.</w:t>
      </w:r>
    </w:p>
    <w:p w14:paraId="423A8B9B" w14:textId="77777777"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H</w:t>
      </w:r>
      <w:r w:rsidRPr="005B271F">
        <w:rPr>
          <w:rFonts w:ascii="Times New Roman" w:eastAsia="Times New Roman" w:hAnsi="Times New Roman" w:cs="Times New Roman"/>
          <w:sz w:val="24"/>
          <w:szCs w:val="24"/>
          <w:vertAlign w:val="subscript"/>
        </w:rPr>
        <w:t>6</w:t>
      </w:r>
      <w:r w:rsidRPr="00985BDC">
        <w:rPr>
          <w:rFonts w:ascii="Times New Roman" w:eastAsia="Times New Roman" w:hAnsi="Times New Roman" w:cs="Times New Roman"/>
          <w:sz w:val="24"/>
          <w:szCs w:val="24"/>
        </w:rPr>
        <w:t>: There is a significant positive relationship between the distance and customer switching behaviour in investment banking sector.</w:t>
      </w:r>
    </w:p>
    <w:p w14:paraId="5B0A8343" w14:textId="586CD57D"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A good location is a critical factor that may affect the consumers’ assessment of a firm’s performance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10.1108/02652329610151340","ISSN":"0265-2323","author":[{"dropping-particle":"","family":"Levesque","given":"Terrence","non-dropping-particle":"","parse-names":false,"suffix":""},{"dropping-particle":"","family":"McDougall","given":"Gordon H.G.","non-dropping-particle":"","parse-names":false,"suffix":""}],"container-title":"International Journal of Bank Marketing","id":"ITEM-1","issue":"7","issued":{"date-parts":[["1996","12"]]},"page":"12-20","title":"Determinants of customer satisfaction in retail banking","type":"article-journal","volume":"14"},"uris":["http://www.mendeley.com/documents/?uuid=925dcc7e-a44a-3ea0-bab3-5ff70c86e018"]}],"mendeley":{"formattedCitation":"(Levesque &amp; McDougall, 1996)","plainTextFormattedCitation":"(Levesque &amp; McDougall, 1996)","previouslyFormattedCitation":"(Levesque &amp; McDougall, 1996)"},"properties":{"noteIndex":0},"schema":"https://github.com/citation-style-language/schema/raw/master/csl-citation.json"}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(Levesque &amp; McDougall, 1996)</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{"citationItems":[{"id":"ITEM-1","itemData":{"DOI":"10.2139/ssrn.347282","ISSN":"0003603X","abstract":"This article presents descriptive findings from new survey data on households' decisions to change or remain with their providers of checking or savings accounts. The data show that the distribution of household tenure is wide, and that about a third of households have never changed depository institutions. The primary reason reported for changing banks is a household relocation; other reasons are customer service and price factors. Customer service and location are the most frequently cited reasons for remaining with a bank. The importance of location and mobility supports previous survey evidence that the local area is the appropriate market for competitive analysis in banking. The findings presented here are consistent with earlier studies showing that population migration increases competitive pressure on firms and therefore should mitigate the anticompetitive effects of bank mergers.","author":[{"dropping-particle":"","family":"Kiser","given":"Elizabeth K.","non-dropping-particle":"","parse-names":false,"suffix":""}],"container-title":"Ssrn","id":"ITEM-1","issued":{"date-parts":[["2003"]]},"page":"619-640","title":"Household Switching Behavior at Depository Institutions: Evidence from Survey Data","type":"article-journal"},"uris":["http://www.mendeley.com/documents/?uuid=9492dd67-5f67-4d5f-ac3b-99b941866ec4"]}],"mendeley":{"formattedCitation":"(Kiser, 2003)","plainTextFormattedCitation":"(Kiser, 2003)","previouslyFormattedCitation":"(Kiser, 2003)"},"properties":{"noteIndex":0},"schema":"https://github.com/citation-style-language/schema/raw/master/csl-citation.json"}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00C4022A">
        <w:rPr>
          <w:rFonts w:ascii="Times New Roman" w:eastAsia="Times New Roman" w:hAnsi="Times New Roman" w:cs="Times New Roman"/>
          <w:noProof/>
          <w:sz w:val="24"/>
          <w:szCs w:val="24"/>
        </w:rPr>
        <w:t>Kiser (</w:t>
      </w:r>
      <w:r w:rsidRPr="00985BDC">
        <w:rPr>
          <w:rFonts w:ascii="Times New Roman" w:eastAsia="Times New Roman" w:hAnsi="Times New Roman" w:cs="Times New Roman"/>
          <w:noProof/>
          <w:sz w:val="24"/>
          <w:szCs w:val="24"/>
        </w:rPr>
        <w:t>2003)</w:t>
      </w:r>
      <w:r w:rsidRPr="00985BDC">
        <w:rPr>
          <w:rFonts w:ascii="Times New Roman" w:eastAsia="Times New Roman" w:hAnsi="Times New Roman" w:cs="Times New Roman"/>
          <w:sz w:val="24"/>
          <w:szCs w:val="24"/>
        </w:rPr>
        <w:fldChar w:fldCharType="end"/>
      </w:r>
      <w:r w:rsidR="00C4022A">
        <w:rPr>
          <w:rFonts w:ascii="Times New Roman" w:eastAsia="Times New Roman" w:hAnsi="Times New Roman" w:cs="Times New Roman"/>
          <w:sz w:val="24"/>
          <w:szCs w:val="24"/>
        </w:rPr>
        <w:t xml:space="preserve"> recognized that location is a </w:t>
      </w:r>
      <w:r w:rsidRPr="00985BDC">
        <w:rPr>
          <w:rFonts w:ascii="Times New Roman" w:eastAsia="Times New Roman" w:hAnsi="Times New Roman" w:cs="Times New Roman"/>
          <w:sz w:val="24"/>
          <w:szCs w:val="24"/>
        </w:rPr>
        <w:t xml:space="preserve">serious matter for households </w:t>
      </w:r>
      <w:r w:rsidR="00C4022A">
        <w:rPr>
          <w:rFonts w:ascii="Times New Roman" w:eastAsia="Times New Roman" w:hAnsi="Times New Roman" w:cs="Times New Roman"/>
          <w:sz w:val="24"/>
          <w:szCs w:val="24"/>
        </w:rPr>
        <w:t xml:space="preserve">in </w:t>
      </w:r>
      <w:r w:rsidRPr="00985BDC">
        <w:rPr>
          <w:rFonts w:ascii="Times New Roman" w:eastAsia="Times New Roman" w:hAnsi="Times New Roman" w:cs="Times New Roman"/>
          <w:sz w:val="24"/>
          <w:szCs w:val="24"/>
        </w:rPr>
        <w:t xml:space="preserve">picking safe depository institutions to the restricted geographical accessibility of elective banks. Generally, a good area can ease the  consumers to remain at their present bank and delay switching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10.1108/08876040110387917","ISSN":"0887-6045","author":[{"dropping-particle":"","family":"Lee","given":"Moonkyu","non-dropping-particle":"","parse-names":false,"suffix":""},{"dropping-particle":"","family":"Cunningham","given":"Lawrence F.","non-dropping-particle":"","parse-names":false,"suffix":""}],"container-title":"Journal of Services Marketing","id":"ITEM-1","issue":"2","issued":{"date-parts":[["2001","4"]]},"page":"113-130","title":"A cost/benefit approach to understanding service loyalty","type":"article-journal","volume":"15"},"uris":["http://www.mendeley.com/documents/?uuid=0586e12f-7573-3ddc-96a4-b423cd7515f4"]}],"mendeley":{"formattedCitation":"(Lee &amp; Cunningham, 2001)","plainTextFormattedCitation":"(Lee &amp; Cunningham, 2001)","previouslyFormattedCitation":"(Lee &amp; Cunningham, 2001)"},"properties":{"noteIndex":0},"schema":"https://github.com/citation-style-language/schema/raw/master/csl-citation.json"}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(Lee &amp; Cunningham, 2001)</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w:t>
      </w:r>
    </w:p>
    <w:p w14:paraId="3D5A85E5" w14:textId="77777777"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H</w:t>
      </w:r>
      <w:r w:rsidRPr="005B271F">
        <w:rPr>
          <w:rFonts w:ascii="Times New Roman" w:eastAsia="Times New Roman" w:hAnsi="Times New Roman" w:cs="Times New Roman"/>
          <w:sz w:val="24"/>
          <w:szCs w:val="24"/>
          <w:vertAlign w:val="subscript"/>
        </w:rPr>
        <w:t>7</w:t>
      </w:r>
      <w:r w:rsidRPr="00985BDC">
        <w:rPr>
          <w:rFonts w:ascii="Times New Roman" w:eastAsia="Times New Roman" w:hAnsi="Times New Roman" w:cs="Times New Roman"/>
          <w:sz w:val="24"/>
          <w:szCs w:val="24"/>
        </w:rPr>
        <w:t>: There is a significant positive relationship between the switching cost and customer switching behaviour in investment banking sector.</w:t>
      </w:r>
    </w:p>
    <w:p w14:paraId="54CF72E3" w14:textId="496BD7CC"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The relationship among switching cost and customers’ switching behaviour have been investigated by many researchers. For example,</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{"citationItems":[{"id":"ITEM-1","itemData":{"abstract":"Nature Reviews Immunology 10, 645 (2010). doi:10.1038/nri2818","author":[{"dropping-particle":"","family":"Fornell","given":"C.","non-dropping-particle":"","parse-names":false,"suffix":""}],"container-title":"A National Customer Satisfaction Barometer:The Swedish Experience","id":"ITEM-1","issue":"1","issued":{"date-parts":[["2016"]]},"page":"6-21","title":"Satisfaction Barometer : The Swedish Experience","type":"article-journal","volume":"56"},"uris":["http://www.mendeley.com/documents/?uuid=0072e811-441c-4f31-85cc-5208a5fa8eac"]}],"mendeley":{"formattedCitation":"(Fornell, 2016)","plainTextFormattedCitation":"(Fornell, 2016)","previouslyFormattedCitation":"(Fornell, 2016)"},"properties":{"noteIndex":0},"schema":"https://github.com/citation-style-language/schema/raw/master/csl-citation.json"}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00C4022A">
        <w:rPr>
          <w:rFonts w:ascii="Times New Roman" w:eastAsia="Times New Roman" w:hAnsi="Times New Roman" w:cs="Times New Roman"/>
          <w:noProof/>
          <w:sz w:val="24"/>
          <w:szCs w:val="24"/>
        </w:rPr>
        <w:t xml:space="preserve"> Fornell</w:t>
      </w:r>
      <w:r w:rsidRPr="00985BDC">
        <w:rPr>
          <w:rFonts w:ascii="Times New Roman" w:eastAsia="Times New Roman" w:hAnsi="Times New Roman" w:cs="Times New Roman"/>
          <w:noProof/>
          <w:sz w:val="24"/>
          <w:szCs w:val="24"/>
        </w:rPr>
        <w:t xml:space="preserve"> </w:t>
      </w:r>
      <w:r w:rsidR="00C4022A">
        <w:rPr>
          <w:rFonts w:ascii="Times New Roman" w:eastAsia="Times New Roman" w:hAnsi="Times New Roman" w:cs="Times New Roman"/>
          <w:noProof/>
          <w:sz w:val="24"/>
          <w:szCs w:val="24"/>
        </w:rPr>
        <w:t>(</w:t>
      </w:r>
      <w:r w:rsidRPr="00985BDC">
        <w:rPr>
          <w:rFonts w:ascii="Times New Roman" w:eastAsia="Times New Roman" w:hAnsi="Times New Roman" w:cs="Times New Roman"/>
          <w:noProof/>
          <w:sz w:val="24"/>
          <w:szCs w:val="24"/>
        </w:rPr>
        <w:t>2016)</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explains that high switching expenses can prevent switching by making it expensive for customers to banks.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{"citationItems":[{"id":"ITEM-1","itemData":{"author":[{"dropping-particle":"","family":"Grmhaug","given":"Kjell","non-dropping-particle":"","parse-names":false,"suffix":""},{"dropping-particle":"","family":"Gilly","given":"Mary C","non-dropping-particle":"","parse-names":false,"suffix":""}],"id":"ITEM-1","issued":{"date-parts":[["1991"]]},"page":"165-183","title":"Gronhaug, Gilly(1991), A transaction cost approach to consumer dissatisfaction and complaint actions.pdf","type":"article-journal","volume":"12"},"uris":["http://www.mendeley.com/documents/?uuid=9ac46c13-26c3-4ab4-bafc-1ee033f6871f"]}],"mendeley":{"formattedCitation":"(Grmhaug &amp; Gilly, 1991)","plainTextFormattedCitation":"(Grmhaug &amp; Gilly, 1991)","previouslyFormattedCitation":"(Grmhaug &amp; Gilly, 1991)"},"properties":{"noteIndex":0},"schema":"https://github.com/citation-style-language/schema/raw/master/csl-citation.json"}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 xml:space="preserve">Grmhaug &amp; Gilly, </w:t>
      </w:r>
      <w:r w:rsidR="00C4022A">
        <w:rPr>
          <w:rFonts w:ascii="Times New Roman" w:eastAsia="Times New Roman" w:hAnsi="Times New Roman" w:cs="Times New Roman"/>
          <w:noProof/>
          <w:sz w:val="24"/>
          <w:szCs w:val="24"/>
        </w:rPr>
        <w:t>(</w:t>
      </w:r>
      <w:r w:rsidRPr="00985BDC">
        <w:rPr>
          <w:rFonts w:ascii="Times New Roman" w:eastAsia="Times New Roman" w:hAnsi="Times New Roman" w:cs="Times New Roman"/>
          <w:noProof/>
          <w:sz w:val="24"/>
          <w:szCs w:val="24"/>
        </w:rPr>
        <w:t>1991)</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w:t>
      </w:r>
      <w:r w:rsidR="00C4022A">
        <w:rPr>
          <w:rFonts w:ascii="Times New Roman" w:eastAsia="Times New Roman" w:hAnsi="Times New Roman" w:cs="Times New Roman"/>
          <w:sz w:val="24"/>
          <w:szCs w:val="24"/>
        </w:rPr>
        <w:t>noted</w:t>
      </w:r>
      <w:r w:rsidRPr="00985BDC">
        <w:rPr>
          <w:rFonts w:ascii="Times New Roman" w:eastAsia="Times New Roman" w:hAnsi="Times New Roman" w:cs="Times New Roman"/>
          <w:sz w:val="24"/>
          <w:szCs w:val="24"/>
        </w:rPr>
        <w:t xml:space="preserve"> that a client who is displeased may stay with their present supplier if exchanging costs are excessively high. The relationship among exchanging costs and consequences for example client maintenance by interrelation analysis demonstrate that exchanging costs are both emphatically identified with repurchase purpose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{"citationItems":[{"id":"ITEM-1","itemData":{"DOI":"10.1016/S0148-2963(00)00168-5","ISSN":"0148-2963","abstract":"Although switching costs are increasingly finding their way into models of customer loyalty, a lack of consistency and clarity exists regarding the appropriate conceptualization and measurement of this critical strategic construct. To address this deficiency, the following six dimensions of switching costs were proposed: (1) lost performance costs; (2) uncertainty costs; (3) pre-switching search and evaluation costs; (4) post-switching behavioral and cognitive costs; (5) setup costs; and (6) sunk costs. Support for these six dimensions was obtained across two studies and two service industries (banks and hairstylists). The multidimensional scale (24 items) evidenced reliability, discriminant validity, and convergent validity. In addition, individual dimensions related to various constructs in predictable and sometimes differential ways. For example, while all switching cost dimensions were positively and significantly associated with repurchase intentions in the overall sample, the association was strongest with lost performance costs. Industry differences also emerged both in the mean level of perceptions across switching cost dimensions, as well as in the strength of relationships between switching costs and outcomes such as repurchase intentions. For example, perceptions of setup costs and pre-switching search and evaluation costs were higher for hairstylists than banks and were also more strongly associated with repurchase intentions for hairstylists than banks. Strategic implications and areas for future research are discussed.","author":[{"dropping-particle":"","family":"Jones","given":"Michael A","non-dropping-particle":"","parse-names":false,"suffix":""},{"dropping-particle":"","family":"Mothersbaugh","given":"David L","non-dropping-particle":"","parse-names":false,"suffix":""},{"dropping-particle":"","family":"Beatty","given":"Sharon E","non-dropping-particle":"","parse-names":false,"suffix":""}],"container-title":"Journal of Business Research","id":"ITEM-1","issue":"6","issued":{"date-parts":[["2002","6","1"]]},"page":"441-450","publisher":"Elsevier","title":"Why customers stay: measuring the underlying dimensions of services switching costs and managing their differential strategic outcomes","type":"article-journal","volume":"55"},"uris":["http://www.mendeley.com/documents/?uuid=8b706445-07ac-36ce-ac0d-d82fe8c1f3fa"]}],"mendeley":{"formattedCitation":"(Jones, Mothersbaugh, &amp; Beatty, 2002)","plainTextFormattedCitation":"(Jones, Mothersbaugh, &amp; Beatty, 2002)","previouslyFormattedCitation":"(Jones, Mothersbaugh, &amp; Beatty, 2002)"},"properties":{"noteIndex":0},"schema":"https://github.com/citation-style-language/schema/raw/master/csl-citation.json"}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(Jones, Mothersbaugh, &amp; Beatty, 2002)</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w:t>
      </w:r>
      <w:r w:rsidR="00C4022A">
        <w:rPr>
          <w:rFonts w:ascii="Times New Roman" w:eastAsia="Times New Roman" w:hAnsi="Times New Roman" w:cs="Times New Roman"/>
          <w:sz w:val="24"/>
          <w:szCs w:val="24"/>
        </w:rPr>
        <w:t>Additionally, i</w:t>
      </w:r>
      <w:r w:rsidRPr="00985BDC">
        <w:rPr>
          <w:rFonts w:ascii="Times New Roman" w:eastAsia="Times New Roman" w:hAnsi="Times New Roman" w:cs="Times New Roman"/>
          <w:sz w:val="24"/>
          <w:szCs w:val="24"/>
        </w:rPr>
        <w:t xml:space="preserve">n the New Zealand financial industry, it was discovered that exchanging cost act a crucial purpose in constraining consumers not to switch even they are determined in exchanging suppliers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10.1108/07363760110393001","ISSN":"0736-3761","author":[{"dropping-particle":"","family":"Colgate","given":"Mark","non-dropping-particle":"","parse-names":false,"suffix":""},{"dropping-particle":"","family":"Lang","given":"Bodo","non-dropping-particle":"","parse-names":false,"suffix":""}],"container-title":"Journal of Consumer Marketing","id":"ITEM-1","issue":"4","issued":{"date-parts":[["2001","7"]]},"page":"332-347","title":"Switching barriers in consumer markets: an investigation of the financial services industry","type":"article-journal","volume":"18"},"uris":["http://www.mendeley.com/documents/?uuid=c4f90403-9235-3d08-8223-cb3cebe93835"]}],"mendeley":{"formattedCitation":"(Colgate &amp; Lang, 2001)","plainTextFormattedCitation":"(Colgate &amp; Lang, 2001)","previouslyFormattedCitation":"(Colgate &amp; Lang, 2001)"},"properties":{"noteIndex":0},"schema":"https://github.com/citation-style-language/schema/raw/master/csl-citation.json"}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(Colgate &amp; Lang, 2001)</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ISBN":"0265232961","author":[{"dropping-particle":"","family":"Colgate","given":"Mark","non-dropping-particle":"","parse-names":false,"suffix":""},{"dropping-particle":"","family":"Hedge","given":"Rachel","non-dropping-particle":"","parse-names":false,"suffix":""},{"dropping-particle":"","family":"Hedge","given":"Rachel","non-dropping-particle":"","parse-names":false,"suffix":""}],"id":"ITEM-1","issued":{"date-parts":[["2010"]]},"title":"An investigation into the switching process in retail banking services","type":"article-journal"},"uris":["http://www.mendeley.com/documents/?uuid=d0523444-97e0-43b5-84f9-3958b8edbecc"]}],"mendeley":{"formattedCitation":"(Colgate, Hedge, &amp; Hedge, 2010)","plainTextFormattedCitation":"(Colgate, Hedge, &amp; Hedge, 2010)","previouslyFormattedCitation":"(Colgate, Hedge, &amp; Hedge, 2010)"},"properties":{"noteIndex":0},"schema":"https://github.com/citation-style-language/schema/raw/master/csl-citation.json"}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00C4022A">
        <w:rPr>
          <w:rFonts w:ascii="Times New Roman" w:eastAsia="Times New Roman" w:hAnsi="Times New Roman" w:cs="Times New Roman"/>
          <w:noProof/>
          <w:sz w:val="24"/>
          <w:szCs w:val="24"/>
        </w:rPr>
        <w:t xml:space="preserve">  Also, Colgate, Hedge, &amp; Hedge (</w:t>
      </w:r>
      <w:r w:rsidRPr="00985BDC">
        <w:rPr>
          <w:rFonts w:ascii="Times New Roman" w:eastAsia="Times New Roman" w:hAnsi="Times New Roman" w:cs="Times New Roman"/>
          <w:noProof/>
          <w:sz w:val="24"/>
          <w:szCs w:val="24"/>
        </w:rPr>
        <w:t>2010)</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reveals that price, services failures are crucial aspects that affect consumers to switch banks in New Zealand.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ISBN":"0265232961","author":[{"dropping-particle":"","family":"Colgate","given":"Mark","non-dropping-particle":"","parse-names":false,"suffix":""},{"dropping-particle":"","family":"Hedge","given":"Rachel","non-dropping-particle":"","parse-names":false,"suffix":""},{"dropping-particle":"","family":"Hedge","given":"Rachel","non-dropping-particle":"","parse-names":false,"suffix":""}],"id":"ITEM-1","issued":{"date-parts":[["2010"]]},"title":"An investigation into the switching process in retail banking services","type":"article-journal"},"uris":["http://www.mendeley.com/documents/?uuid=d0523444-97e0-43b5-84f9-3958b8edbecc"]}],"mendeley":{"formattedCitation":"(Colgate et al., 2010)","plainTextFormattedCitation":"(Colgate et al., 2010)","previouslyFormattedCitation":"(Colgate et al., 2010)"},"properties":{"noteIndex":0},"schema":"https://github.com/citation-style-language/schema/raw/master/csl-citation.json"}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00C4022A">
        <w:rPr>
          <w:rFonts w:ascii="Times New Roman" w:eastAsia="Times New Roman" w:hAnsi="Times New Roman" w:cs="Times New Roman"/>
          <w:noProof/>
          <w:sz w:val="24"/>
          <w:szCs w:val="24"/>
        </w:rPr>
        <w:t xml:space="preserve">Another study by </w:t>
      </w:r>
      <w:r w:rsidRPr="00985BDC">
        <w:rPr>
          <w:rFonts w:ascii="Times New Roman" w:eastAsia="Times New Roman" w:hAnsi="Times New Roman" w:cs="Times New Roman"/>
          <w:noProof/>
          <w:sz w:val="24"/>
          <w:szCs w:val="24"/>
        </w:rPr>
        <w:t xml:space="preserve">Colgate et al., </w:t>
      </w:r>
      <w:r w:rsidR="00C4022A">
        <w:rPr>
          <w:rFonts w:ascii="Times New Roman" w:eastAsia="Times New Roman" w:hAnsi="Times New Roman" w:cs="Times New Roman"/>
          <w:noProof/>
          <w:sz w:val="24"/>
          <w:szCs w:val="24"/>
        </w:rPr>
        <w:t>(</w:t>
      </w:r>
      <w:r w:rsidRPr="00985BDC">
        <w:rPr>
          <w:rFonts w:ascii="Times New Roman" w:eastAsia="Times New Roman" w:hAnsi="Times New Roman" w:cs="Times New Roman"/>
          <w:noProof/>
          <w:sz w:val="24"/>
          <w:szCs w:val="24"/>
        </w:rPr>
        <w:t>2010)</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acknowledge </w:t>
      </w:r>
      <w:r w:rsidR="00C4022A">
        <w:rPr>
          <w:rFonts w:ascii="Times New Roman" w:eastAsia="Times New Roman" w:hAnsi="Times New Roman" w:cs="Times New Roman"/>
          <w:sz w:val="24"/>
          <w:szCs w:val="24"/>
        </w:rPr>
        <w:t xml:space="preserve">that </w:t>
      </w:r>
      <w:r w:rsidRPr="00985BDC">
        <w:rPr>
          <w:rFonts w:ascii="Times New Roman" w:eastAsia="Times New Roman" w:hAnsi="Times New Roman" w:cs="Times New Roman"/>
          <w:sz w:val="24"/>
          <w:szCs w:val="24"/>
        </w:rPr>
        <w:t>customer commitment, notoriety and quality of service as crucial switching influencers in the New Zealand banking industry.</w:t>
      </w:r>
    </w:p>
    <w:p w14:paraId="3577605B" w14:textId="77777777" w:rsidR="000A59E5" w:rsidRPr="00985BDC"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H</w:t>
      </w:r>
      <w:r w:rsidRPr="005B271F">
        <w:rPr>
          <w:rFonts w:ascii="Times New Roman" w:eastAsia="Times New Roman" w:hAnsi="Times New Roman" w:cs="Times New Roman"/>
          <w:sz w:val="24"/>
          <w:szCs w:val="24"/>
          <w:vertAlign w:val="subscript"/>
        </w:rPr>
        <w:t>8</w:t>
      </w:r>
      <w:r w:rsidRPr="00985BDC">
        <w:rPr>
          <w:rFonts w:ascii="Times New Roman" w:eastAsia="Times New Roman" w:hAnsi="Times New Roman" w:cs="Times New Roman"/>
          <w:sz w:val="24"/>
          <w:szCs w:val="24"/>
        </w:rPr>
        <w:t>: There is a significant positive relationship between the religious belief and customer switching behaviour in investment banking sector.</w:t>
      </w:r>
    </w:p>
    <w:p w14:paraId="3FB8607F" w14:textId="65D20401" w:rsidR="000A59E5" w:rsidRDefault="000A59E5"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According to Department of Statistic in Malaysia, about 61.3% belongs to Muslim community and the rest is belong to Buddha, Christian, Hindu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URL":"https://www.dosm.gov.my/v1/index.php?r=column/ctheme&amp;menu_id=L0pheU43NWJwRWVSZklWdzQ4TlhUUT09&amp;bul_id=MDMxdHZjWTk1SjFzTzNkRXYzcVZjdz09","accessed":{"date-parts":[["2018","12","3"]]},"id":"ITEM-1","issued":{"date-parts":[["0"]]},"title":"Department of Statistics Malaysia Official Portal","type":"webpage"},"uris":["http://www.mendeley.com/documents/?uuid=7e36c23e-4100-3915-b79e-1accf8ee6f37"]}],"mendeley":{"formattedCitation":"(“Department of Statistics Malaysia Official Portal,” n.d.)","plainTextFormattedCitation":"(“Department of Statistics Malaysia Official Portal,” n.d.)","previouslyFormattedCitation":"(“Department of Statistics Malaysia Official Portal,” n.d.)"},"properties":{"noteIndex":0},"schema":"https://github.com/citation-style-language/schema/raw/master/csl-citation.json"}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(“Department of Statistics Malaysia Official Portal,” n.d.)</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Because of this Islamic populace, they have solid religious convictions and used them in making decision. The key distinctive component among commercial and Islamic banks is premium or called (riba). Islamic bank is not allowed to offer a foreordained interest rate customers’ deposits whilst commercial bank charged a settled level of premium. Numerous studies were discovered that Islamic banks likewise not allowed to summon enthusiasm on advances in which by settled or foreordained rate of return that is certain apart from the performance of the investment. It is also asserted by the researchers that dealings are conceded out of the foundation of profit and loss sharing among the Islamic banks and their customers either lenders or depositors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{"citationItems":[{"id":"ITEM-1","itemData":{"author":[{"dropping-particle":"","family":"Lewis","given":"Mervyn K","non-dropping-particle":"","parse-names":false,"suffix":""}],"id":"ITEM-1","issued":{"date-parts":[["0"]]},"title":"Handbook of Islamic Banking","type":"article-journal"},"uris":["http://www.mendeley.com/documents/?uuid=b3a89602-3d5e-4686-99da-aeea146295dc"]}],"mendeley":{"formattedCitation":"(Lewis, n.d.)","plainTextFormattedCitation":"(Lewis, n.d.)","previouslyFormattedCitation":"(Lewis, n.d.)"},"properties":{"noteIndex":0},"schema":"https://github.com/citation-style-language/schema/raw/master/csl-citation.json"}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(Lewis, n.d.)</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 In Malaysia, minorities that having diverse religions </w:t>
      </w:r>
      <w:r w:rsidRPr="00985BDC">
        <w:rPr>
          <w:rFonts w:ascii="Times New Roman" w:eastAsia="Times New Roman" w:hAnsi="Times New Roman" w:cs="Times New Roman"/>
          <w:sz w:val="24"/>
          <w:szCs w:val="24"/>
        </w:rPr>
        <w:lastRenderedPageBreak/>
        <w:t>based on religion and based on nationalities. That’s why it is important for banks to evaluate the selection of clients or to have the capacity to consider the</w:t>
      </w:r>
      <w:r w:rsidR="00C4022A">
        <w:rPr>
          <w:rFonts w:ascii="Times New Roman" w:eastAsia="Times New Roman" w:hAnsi="Times New Roman" w:cs="Times New Roman"/>
          <w:sz w:val="24"/>
          <w:szCs w:val="24"/>
        </w:rPr>
        <w:t>ir client as it might vary as</w:t>
      </w:r>
      <w:r w:rsidRPr="00985BDC">
        <w:rPr>
          <w:rFonts w:ascii="Times New Roman" w:eastAsia="Times New Roman" w:hAnsi="Times New Roman" w:cs="Times New Roman"/>
          <w:sz w:val="24"/>
          <w:szCs w:val="24"/>
        </w:rPr>
        <w:t xml:space="preserve"> indicated by their abstract, ethics and thoughts</w:t>
      </w:r>
      <w:r w:rsidR="00C4022A">
        <w:rPr>
          <w:rFonts w:ascii="Times New Roman" w:eastAsia="Times New Roman" w:hAnsi="Times New Roman" w:cs="Times New Roman"/>
          <w:sz w:val="24"/>
          <w:szCs w:val="24"/>
        </w:rPr>
        <w:t xml:space="preserve">.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10.1108/02652329910269275","ISSN":"0265-2323","author":[{"dropping-particle":"","family":"Naser","given":"Kamal","non-dropping-particle":"","parse-names":false,"suffix":""},{"dropping-particle":"","family":"Jamal","given":"Ahmad","non-dropping-particle":"","parse-names":false,"suffix":""},{"dropping-particle":"","family":"Al‐Khatib","given":"Khalid","non-dropping-particle":"","parse-names":false,"suffix":""}],"container-title":"International Journal of Bank Marketing","id":"ITEM-1","issue":"3","issued":{"date-parts":[["1999","6"]]},"page":"135-151","title":"Islamic banking: a study of customer satisfaction and preferences in Jordan","type":"article-journal","volume":"17"},"uris":["http://www.mendeley.com/documents/?uuid=8e72790f-e883-3ae1-be9e-f7c50305e04c"]}],"mendeley":{"formattedCitation":"(Naser, Jamal, &amp; Al‐Khatib, 1999)","plainTextFormattedCitation":"(Naser, Jamal, &amp; Al‐Khatib, 1999)","previouslyFormattedCitation":"(Naser, Jamal, &amp; Al‐Khatib, 1999)"},"properties":{"noteIndex":0},"schema":"https://github.com/citation-style-language/schema/raw/master/csl-citation.json"}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00C4022A">
        <w:rPr>
          <w:rFonts w:ascii="Times New Roman" w:eastAsia="Times New Roman" w:hAnsi="Times New Roman" w:cs="Times New Roman"/>
          <w:noProof/>
          <w:sz w:val="24"/>
          <w:szCs w:val="24"/>
        </w:rPr>
        <w:t>Naser, Jamal, &amp; Al‐Khatib</w:t>
      </w:r>
      <w:r w:rsidRPr="00985BDC">
        <w:rPr>
          <w:rFonts w:ascii="Times New Roman" w:eastAsia="Times New Roman" w:hAnsi="Times New Roman" w:cs="Times New Roman"/>
          <w:noProof/>
          <w:sz w:val="24"/>
          <w:szCs w:val="24"/>
        </w:rPr>
        <w:t xml:space="preserve"> </w:t>
      </w:r>
      <w:r w:rsidR="00C4022A">
        <w:rPr>
          <w:rFonts w:ascii="Times New Roman" w:eastAsia="Times New Roman" w:hAnsi="Times New Roman" w:cs="Times New Roman"/>
          <w:noProof/>
          <w:sz w:val="24"/>
          <w:szCs w:val="24"/>
        </w:rPr>
        <w:t>(</w:t>
      </w:r>
      <w:r w:rsidRPr="00985BDC">
        <w:rPr>
          <w:rFonts w:ascii="Times New Roman" w:eastAsia="Times New Roman" w:hAnsi="Times New Roman" w:cs="Times New Roman"/>
          <w:noProof/>
          <w:sz w:val="24"/>
          <w:szCs w:val="24"/>
        </w:rPr>
        <w:t>1999)</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conducted vary banking studies which recommend that plus with other proxies’ religious inclinations are most crucial variables of bank determination choices.</w:t>
      </w:r>
    </w:p>
    <w:p w14:paraId="44F091CD" w14:textId="77AA1AF7" w:rsidR="00C4022A" w:rsidRPr="00C4022A" w:rsidRDefault="00C4022A" w:rsidP="00C4022A">
      <w:pPr>
        <w:spacing w:line="240" w:lineRule="auto"/>
        <w:jc w:val="center"/>
        <w:rPr>
          <w:rFonts w:ascii="Times New Roman" w:eastAsia="Times New Roman" w:hAnsi="Times New Roman" w:cs="Times New Roman"/>
          <w:b/>
          <w:sz w:val="24"/>
          <w:szCs w:val="24"/>
        </w:rPr>
      </w:pPr>
      <w:r w:rsidRPr="00C4022A">
        <w:rPr>
          <w:rFonts w:ascii="Times New Roman" w:eastAsia="Times New Roman" w:hAnsi="Times New Roman" w:cs="Times New Roman"/>
          <w:b/>
          <w:sz w:val="24"/>
          <w:szCs w:val="24"/>
        </w:rPr>
        <w:t>METHODOLOGY</w:t>
      </w:r>
    </w:p>
    <w:p w14:paraId="153BC5D4" w14:textId="31D9E0BE" w:rsidR="000A59E5" w:rsidRDefault="000F1EF7" w:rsidP="000F1EF7">
      <w:pPr>
        <w:shd w:val="clear" w:color="auto" w:fill="FFFFFF"/>
        <w:spacing w:after="0" w:line="240" w:lineRule="auto"/>
        <w:ind w:firstLine="720"/>
        <w:jc w:val="both"/>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 xml:space="preserve">This study </w:t>
      </w:r>
      <w:r w:rsidR="00330119">
        <w:rPr>
          <w:rFonts w:ascii="Times New Roman" w:eastAsia="Times New Roman" w:hAnsi="Times New Roman" w:cs="Times New Roman"/>
          <w:color w:val="000000"/>
          <w:sz w:val="24"/>
          <w:szCs w:val="24"/>
          <w:lang w:eastAsia="en-MY"/>
        </w:rPr>
        <w:t>has</w:t>
      </w:r>
      <w:r>
        <w:rPr>
          <w:rFonts w:ascii="Times New Roman" w:eastAsia="Times New Roman" w:hAnsi="Times New Roman" w:cs="Times New Roman"/>
          <w:color w:val="000000"/>
          <w:sz w:val="24"/>
          <w:szCs w:val="24"/>
          <w:lang w:eastAsia="en-MY"/>
        </w:rPr>
        <w:t xml:space="preserve"> </w:t>
      </w:r>
      <w:r w:rsidR="000A59E5" w:rsidRPr="00985BDC">
        <w:rPr>
          <w:rFonts w:ascii="Times New Roman" w:eastAsia="Times New Roman" w:hAnsi="Times New Roman" w:cs="Times New Roman"/>
          <w:color w:val="000000"/>
          <w:sz w:val="24"/>
          <w:szCs w:val="24"/>
          <w:lang w:eastAsia="en-MY"/>
        </w:rPr>
        <w:t xml:space="preserve">collected </w:t>
      </w:r>
      <w:r w:rsidR="00C4022A">
        <w:rPr>
          <w:rFonts w:ascii="Times New Roman" w:eastAsia="Times New Roman" w:hAnsi="Times New Roman" w:cs="Times New Roman"/>
          <w:color w:val="000000"/>
          <w:sz w:val="24"/>
          <w:szCs w:val="24"/>
          <w:lang w:eastAsia="en-MY"/>
        </w:rPr>
        <w:t xml:space="preserve">the </w:t>
      </w:r>
      <w:r w:rsidR="000A59E5" w:rsidRPr="00985BDC">
        <w:rPr>
          <w:rFonts w:ascii="Times New Roman" w:eastAsia="Times New Roman" w:hAnsi="Times New Roman" w:cs="Times New Roman"/>
          <w:color w:val="000000"/>
          <w:sz w:val="24"/>
          <w:szCs w:val="24"/>
          <w:lang w:eastAsia="en-MY"/>
        </w:rPr>
        <w:t xml:space="preserve">data from 130 respondents by using self-administered questionnaire survey technique. </w:t>
      </w:r>
      <w:r>
        <w:rPr>
          <w:rFonts w:ascii="Times New Roman" w:eastAsia="Times New Roman" w:hAnsi="Times New Roman" w:cs="Times New Roman"/>
          <w:color w:val="000000"/>
          <w:sz w:val="24"/>
          <w:szCs w:val="24"/>
          <w:lang w:eastAsia="en-MY"/>
        </w:rPr>
        <w:t>Prior to the sample selection of the respondents,</w:t>
      </w:r>
      <w:r w:rsidR="000A59E5" w:rsidRPr="00985BDC">
        <w:rPr>
          <w:rFonts w:ascii="Times New Roman" w:eastAsia="Times New Roman" w:hAnsi="Times New Roman" w:cs="Times New Roman"/>
          <w:color w:val="000000"/>
          <w:sz w:val="24"/>
          <w:szCs w:val="24"/>
          <w:lang w:eastAsia="en-MY"/>
        </w:rPr>
        <w:t xml:space="preserve"> </w:t>
      </w:r>
      <w:r>
        <w:rPr>
          <w:rFonts w:ascii="Times New Roman" w:eastAsia="Times New Roman" w:hAnsi="Times New Roman" w:cs="Times New Roman"/>
          <w:color w:val="000000"/>
          <w:sz w:val="24"/>
          <w:szCs w:val="24"/>
          <w:lang w:eastAsia="en-MY"/>
        </w:rPr>
        <w:t>researcher</w:t>
      </w:r>
      <w:r w:rsidR="000A59E5" w:rsidRPr="00985BDC">
        <w:rPr>
          <w:rFonts w:ascii="Times New Roman" w:eastAsia="Times New Roman" w:hAnsi="Times New Roman" w:cs="Times New Roman"/>
          <w:color w:val="000000"/>
          <w:sz w:val="24"/>
          <w:szCs w:val="24"/>
          <w:lang w:eastAsia="en-MY"/>
        </w:rPr>
        <w:t xml:space="preserve"> </w:t>
      </w:r>
      <w:r>
        <w:rPr>
          <w:rFonts w:ascii="Times New Roman" w:eastAsia="Times New Roman" w:hAnsi="Times New Roman" w:cs="Times New Roman"/>
          <w:color w:val="000000"/>
          <w:sz w:val="24"/>
          <w:szCs w:val="24"/>
          <w:lang w:eastAsia="en-MY"/>
        </w:rPr>
        <w:t>inquiry the potential respondents</w:t>
      </w:r>
      <w:r w:rsidR="000A59E5" w:rsidRPr="00985BDC">
        <w:rPr>
          <w:rFonts w:ascii="Times New Roman" w:eastAsia="Times New Roman" w:hAnsi="Times New Roman" w:cs="Times New Roman"/>
          <w:color w:val="000000"/>
          <w:sz w:val="24"/>
          <w:szCs w:val="24"/>
          <w:lang w:eastAsia="en-MY"/>
        </w:rPr>
        <w:t xml:space="preserve"> </w:t>
      </w:r>
      <w:r>
        <w:rPr>
          <w:rFonts w:ascii="Times New Roman" w:eastAsia="Times New Roman" w:hAnsi="Times New Roman" w:cs="Times New Roman"/>
          <w:color w:val="000000"/>
          <w:sz w:val="24"/>
          <w:szCs w:val="24"/>
          <w:lang w:eastAsia="en-MY"/>
        </w:rPr>
        <w:t>on either</w:t>
      </w:r>
      <w:r w:rsidR="000A59E5" w:rsidRPr="00985BDC">
        <w:rPr>
          <w:rFonts w:ascii="Times New Roman" w:eastAsia="Times New Roman" w:hAnsi="Times New Roman" w:cs="Times New Roman"/>
          <w:color w:val="000000"/>
          <w:sz w:val="24"/>
          <w:szCs w:val="24"/>
          <w:lang w:eastAsia="en-MY"/>
        </w:rPr>
        <w:t xml:space="preserve"> they have </w:t>
      </w:r>
      <w:r>
        <w:rPr>
          <w:rFonts w:ascii="Times New Roman" w:eastAsia="Times New Roman" w:hAnsi="Times New Roman" w:cs="Times New Roman"/>
          <w:color w:val="000000"/>
          <w:sz w:val="24"/>
          <w:szCs w:val="24"/>
          <w:lang w:eastAsia="en-MY"/>
        </w:rPr>
        <w:t>the related investment</w:t>
      </w:r>
      <w:r w:rsidR="000A59E5" w:rsidRPr="00985BDC">
        <w:rPr>
          <w:rFonts w:ascii="Times New Roman" w:eastAsia="Times New Roman" w:hAnsi="Times New Roman" w:cs="Times New Roman"/>
          <w:color w:val="000000"/>
          <w:sz w:val="24"/>
          <w:szCs w:val="24"/>
          <w:lang w:eastAsia="en-MY"/>
        </w:rPr>
        <w:t xml:space="preserve"> account</w:t>
      </w:r>
      <w:r>
        <w:rPr>
          <w:rFonts w:ascii="Times New Roman" w:eastAsia="Times New Roman" w:hAnsi="Times New Roman" w:cs="Times New Roman"/>
          <w:color w:val="000000"/>
          <w:sz w:val="24"/>
          <w:szCs w:val="24"/>
          <w:lang w:eastAsia="en-MY"/>
        </w:rPr>
        <w:t xml:space="preserve"> or not</w:t>
      </w:r>
      <w:r w:rsidR="000A59E5" w:rsidRPr="00985BDC">
        <w:rPr>
          <w:rFonts w:ascii="Times New Roman" w:eastAsia="Times New Roman" w:hAnsi="Times New Roman" w:cs="Times New Roman"/>
          <w:color w:val="000000"/>
          <w:sz w:val="24"/>
          <w:szCs w:val="24"/>
          <w:lang w:eastAsia="en-MY"/>
        </w:rPr>
        <w:t xml:space="preserve">.  If they are </w:t>
      </w:r>
      <w:r>
        <w:rPr>
          <w:rFonts w:ascii="Times New Roman" w:eastAsia="Times New Roman" w:hAnsi="Times New Roman" w:cs="Times New Roman"/>
          <w:color w:val="000000"/>
          <w:sz w:val="24"/>
          <w:szCs w:val="24"/>
          <w:lang w:eastAsia="en-MY"/>
        </w:rPr>
        <w:t xml:space="preserve">the </w:t>
      </w:r>
      <w:r w:rsidR="000A59E5" w:rsidRPr="00985BDC">
        <w:rPr>
          <w:rFonts w:ascii="Times New Roman" w:eastAsia="Times New Roman" w:hAnsi="Times New Roman" w:cs="Times New Roman"/>
          <w:color w:val="000000"/>
          <w:sz w:val="24"/>
          <w:szCs w:val="24"/>
          <w:lang w:eastAsia="en-MY"/>
        </w:rPr>
        <w:t>customer</w:t>
      </w:r>
      <w:r>
        <w:rPr>
          <w:rFonts w:ascii="Times New Roman" w:eastAsia="Times New Roman" w:hAnsi="Times New Roman" w:cs="Times New Roman"/>
          <w:color w:val="000000"/>
          <w:sz w:val="24"/>
          <w:szCs w:val="24"/>
          <w:lang w:eastAsia="en-MY"/>
        </w:rPr>
        <w:t>s</w:t>
      </w:r>
      <w:r w:rsidR="000A59E5" w:rsidRPr="00985BDC">
        <w:rPr>
          <w:rFonts w:ascii="Times New Roman" w:eastAsia="Times New Roman" w:hAnsi="Times New Roman" w:cs="Times New Roman"/>
          <w:color w:val="000000"/>
          <w:sz w:val="24"/>
          <w:szCs w:val="24"/>
          <w:lang w:eastAsia="en-MY"/>
        </w:rPr>
        <w:t xml:space="preserve"> of </w:t>
      </w:r>
      <w:r>
        <w:rPr>
          <w:rFonts w:ascii="Times New Roman" w:eastAsia="Times New Roman" w:hAnsi="Times New Roman" w:cs="Times New Roman"/>
          <w:color w:val="000000"/>
          <w:sz w:val="24"/>
          <w:szCs w:val="24"/>
          <w:lang w:eastAsia="en-MY"/>
        </w:rPr>
        <w:t>the related investment account,</w:t>
      </w:r>
      <w:r w:rsidR="000A59E5" w:rsidRPr="00985BDC">
        <w:rPr>
          <w:rFonts w:ascii="Times New Roman" w:eastAsia="Times New Roman" w:hAnsi="Times New Roman" w:cs="Times New Roman"/>
          <w:color w:val="000000"/>
          <w:sz w:val="24"/>
          <w:szCs w:val="24"/>
          <w:lang w:eastAsia="en-MY"/>
        </w:rPr>
        <w:t xml:space="preserve"> then they can </w:t>
      </w:r>
      <w:r>
        <w:rPr>
          <w:rFonts w:ascii="Times New Roman" w:eastAsia="Times New Roman" w:hAnsi="Times New Roman" w:cs="Times New Roman"/>
          <w:color w:val="000000"/>
          <w:sz w:val="24"/>
          <w:szCs w:val="24"/>
          <w:lang w:eastAsia="en-MY"/>
        </w:rPr>
        <w:t>proceed with</w:t>
      </w:r>
      <w:r w:rsidR="000A59E5" w:rsidRPr="00985BDC">
        <w:rPr>
          <w:rFonts w:ascii="Times New Roman" w:eastAsia="Times New Roman" w:hAnsi="Times New Roman" w:cs="Times New Roman"/>
          <w:color w:val="000000"/>
          <w:sz w:val="24"/>
          <w:szCs w:val="24"/>
          <w:lang w:eastAsia="en-MY"/>
        </w:rPr>
        <w:t xml:space="preserve"> our questionnaire</w:t>
      </w:r>
      <w:r>
        <w:rPr>
          <w:rFonts w:ascii="Times New Roman" w:eastAsia="Times New Roman" w:hAnsi="Times New Roman" w:cs="Times New Roman"/>
          <w:color w:val="000000"/>
          <w:sz w:val="24"/>
          <w:szCs w:val="24"/>
          <w:lang w:eastAsia="en-MY"/>
        </w:rPr>
        <w:t>,</w:t>
      </w:r>
      <w:r w:rsidR="000A59E5" w:rsidRPr="00985BDC">
        <w:rPr>
          <w:rFonts w:ascii="Times New Roman" w:eastAsia="Times New Roman" w:hAnsi="Times New Roman" w:cs="Times New Roman"/>
          <w:color w:val="000000"/>
          <w:sz w:val="24"/>
          <w:szCs w:val="24"/>
          <w:lang w:eastAsia="en-MY"/>
        </w:rPr>
        <w:t xml:space="preserve"> otherwise we move </w:t>
      </w:r>
      <w:r>
        <w:rPr>
          <w:rFonts w:ascii="Times New Roman" w:eastAsia="Times New Roman" w:hAnsi="Times New Roman" w:cs="Times New Roman"/>
          <w:color w:val="000000"/>
          <w:sz w:val="24"/>
          <w:szCs w:val="24"/>
          <w:lang w:eastAsia="en-MY"/>
        </w:rPr>
        <w:t xml:space="preserve">to </w:t>
      </w:r>
      <w:r w:rsidR="000A59E5" w:rsidRPr="00985BDC">
        <w:rPr>
          <w:rFonts w:ascii="Times New Roman" w:eastAsia="Times New Roman" w:hAnsi="Times New Roman" w:cs="Times New Roman"/>
          <w:color w:val="000000"/>
          <w:sz w:val="24"/>
          <w:szCs w:val="24"/>
          <w:lang w:eastAsia="en-MY"/>
        </w:rPr>
        <w:t>another individual.</w:t>
      </w:r>
    </w:p>
    <w:p w14:paraId="3A682AC2" w14:textId="77777777" w:rsidR="000F1EF7" w:rsidRPr="00985BDC" w:rsidRDefault="000F1EF7" w:rsidP="000F1EF7">
      <w:pPr>
        <w:shd w:val="clear" w:color="auto" w:fill="FFFFFF"/>
        <w:spacing w:after="0" w:line="240" w:lineRule="auto"/>
        <w:ind w:firstLine="720"/>
        <w:jc w:val="both"/>
        <w:rPr>
          <w:rFonts w:ascii="Times New Roman" w:eastAsia="Times New Roman" w:hAnsi="Times New Roman" w:cs="Times New Roman"/>
          <w:color w:val="000000"/>
          <w:sz w:val="24"/>
          <w:szCs w:val="24"/>
          <w:lang w:eastAsia="en-MY"/>
        </w:rPr>
      </w:pPr>
    </w:p>
    <w:p w14:paraId="3121122F" w14:textId="747DBF37" w:rsidR="000A59E5" w:rsidRPr="00985BDC" w:rsidRDefault="000A59E5" w:rsidP="000F1EF7">
      <w:pPr>
        <w:autoSpaceDE w:val="0"/>
        <w:autoSpaceDN w:val="0"/>
        <w:adjustRightInd w:val="0"/>
        <w:spacing w:after="0" w:line="240" w:lineRule="auto"/>
        <w:ind w:firstLine="720"/>
        <w:jc w:val="both"/>
        <w:rPr>
          <w:rFonts w:ascii="Times New Roman" w:hAnsi="Times New Roman" w:cs="Times New Roman"/>
          <w:sz w:val="24"/>
          <w:szCs w:val="24"/>
        </w:rPr>
      </w:pPr>
      <w:r w:rsidRPr="00985BDC">
        <w:rPr>
          <w:rFonts w:ascii="Times New Roman" w:hAnsi="Times New Roman" w:cs="Times New Roman"/>
          <w:sz w:val="24"/>
          <w:szCs w:val="24"/>
        </w:rPr>
        <w:t xml:space="preserve">In this study, Tabung Haji and </w:t>
      </w:r>
      <w:r w:rsidR="000F1EF7">
        <w:rPr>
          <w:rFonts w:ascii="Times New Roman" w:hAnsi="Times New Roman" w:cs="Times New Roman"/>
          <w:sz w:val="24"/>
          <w:szCs w:val="24"/>
        </w:rPr>
        <w:t>ASNB</w:t>
      </w:r>
      <w:r w:rsidRPr="00985BDC">
        <w:rPr>
          <w:rFonts w:ascii="Times New Roman" w:hAnsi="Times New Roman" w:cs="Times New Roman"/>
          <w:sz w:val="24"/>
          <w:szCs w:val="24"/>
        </w:rPr>
        <w:t xml:space="preserve"> retail banking customers are the example and the subgroups are clients who had past switching knowledge and the individuals who stayed with their current bank for more than six months. For those who stayed, the interviewer approached and asked the reasons behind staying and their expectation to switch in future and the conceivable reasons contributing to the choice. Meanwhile for switchers, they were approached about the purposes for exchanging and acceptable reasons if they were to somehow managed to remain with their present bank.</w:t>
      </w:r>
    </w:p>
    <w:p w14:paraId="2BEAE64C" w14:textId="77777777" w:rsidR="006D6845" w:rsidRPr="000F1EF7" w:rsidRDefault="006D6845" w:rsidP="00CF29E2">
      <w:pPr>
        <w:pStyle w:val="Heading3"/>
        <w:spacing w:line="240" w:lineRule="auto"/>
        <w:rPr>
          <w:rFonts w:ascii="Times New Roman" w:eastAsia="Times New Roman" w:hAnsi="Times New Roman" w:cs="Times New Roman"/>
          <w:b/>
          <w:i/>
          <w:color w:val="auto"/>
        </w:rPr>
      </w:pPr>
      <w:bookmarkStart w:id="5" w:name="_Toc8645919"/>
    </w:p>
    <w:bookmarkEnd w:id="5"/>
    <w:p w14:paraId="4E060AF0" w14:textId="2326258F" w:rsidR="005B271F" w:rsidRPr="005B271F" w:rsidRDefault="000F1EF7" w:rsidP="005B271F">
      <w:pPr>
        <w:pStyle w:val="Heading3"/>
        <w:spacing w:line="240" w:lineRule="auto"/>
        <w:rPr>
          <w:rFonts w:ascii="Times New Roman" w:eastAsia="Times New Roman" w:hAnsi="Times New Roman" w:cs="Times New Roman"/>
          <w:b/>
          <w:i/>
          <w:color w:val="auto"/>
        </w:rPr>
      </w:pPr>
      <w:r>
        <w:rPr>
          <w:rFonts w:ascii="Times New Roman" w:eastAsia="Times New Roman" w:hAnsi="Times New Roman" w:cs="Times New Roman"/>
          <w:b/>
          <w:i/>
          <w:color w:val="auto"/>
        </w:rPr>
        <w:t>Questionnaire development</w:t>
      </w:r>
    </w:p>
    <w:p w14:paraId="5BE497CC" w14:textId="59B64447" w:rsidR="000A59E5" w:rsidRPr="00985BDC" w:rsidRDefault="000F1EF7" w:rsidP="000F1EF7">
      <w:pPr>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Recall that t</w:t>
      </w:r>
      <w:r w:rsidR="000A59E5" w:rsidRPr="00985BDC">
        <w:rPr>
          <w:rFonts w:ascii="Times New Roman" w:eastAsia="Times New Roman" w:hAnsi="Times New Roman" w:cs="Times New Roman"/>
          <w:color w:val="000000"/>
          <w:sz w:val="24"/>
          <w:szCs w:val="24"/>
        </w:rPr>
        <w:t>he population for our sample was those people</w:t>
      </w:r>
      <w:r>
        <w:rPr>
          <w:rFonts w:ascii="Times New Roman" w:eastAsia="Times New Roman" w:hAnsi="Times New Roman" w:cs="Times New Roman"/>
          <w:color w:val="000000"/>
          <w:sz w:val="24"/>
          <w:szCs w:val="24"/>
        </w:rPr>
        <w:t xml:space="preserve"> who have either Tabung Haji or ASNB investment</w:t>
      </w:r>
      <w:r w:rsidR="000A59E5" w:rsidRPr="00985BDC">
        <w:rPr>
          <w:rFonts w:ascii="Times New Roman" w:eastAsia="Times New Roman" w:hAnsi="Times New Roman" w:cs="Times New Roman"/>
          <w:color w:val="000000"/>
          <w:sz w:val="24"/>
          <w:szCs w:val="24"/>
        </w:rPr>
        <w:t xml:space="preserve"> accounts. </w:t>
      </w:r>
      <w:r>
        <w:rPr>
          <w:rFonts w:ascii="Times New Roman" w:eastAsia="Times New Roman" w:hAnsi="Times New Roman" w:cs="Times New Roman"/>
          <w:color w:val="000000"/>
          <w:sz w:val="24"/>
          <w:szCs w:val="24"/>
        </w:rPr>
        <w:t xml:space="preserve">Therefore, the structure of the questionnaire is divided into two sub-sections of Part A and B. </w:t>
      </w:r>
      <w:r w:rsidR="000A59E5" w:rsidRPr="00985BDC">
        <w:rPr>
          <w:rFonts w:ascii="Times New Roman" w:eastAsia="Times New Roman" w:hAnsi="Times New Roman" w:cs="Times New Roman"/>
          <w:color w:val="000000"/>
          <w:sz w:val="24"/>
          <w:szCs w:val="24"/>
        </w:rPr>
        <w:t xml:space="preserve">Part A of the questionnaires included the statistic profile and part B included the develop measurement. Statistic profile included gender, race, old age, race, marital status, highest level of education, sorts of bank service latest using and salary. </w:t>
      </w:r>
      <w:r w:rsidRPr="00985BDC">
        <w:rPr>
          <w:rFonts w:ascii="Times New Roman" w:eastAsia="Times New Roman" w:hAnsi="Times New Roman" w:cs="Times New Roman"/>
          <w:color w:val="000000"/>
          <w:sz w:val="24"/>
          <w:szCs w:val="24"/>
        </w:rPr>
        <w:t>Whereas</w:t>
      </w:r>
      <w:r w:rsidR="000A59E5" w:rsidRPr="00985BDC">
        <w:rPr>
          <w:rFonts w:ascii="Times New Roman" w:eastAsia="Times New Roman" w:hAnsi="Times New Roman" w:cs="Times New Roman"/>
          <w:color w:val="000000"/>
          <w:sz w:val="24"/>
          <w:szCs w:val="24"/>
        </w:rPr>
        <w:t xml:space="preserve"> part B is consisting of the independent variables such as dividend, religious belief, profit and interest, price, quality of service, reputation, broadcasting, involuntary switching, distance and switching costs. Through the Likert scale, respondent was asked to rate each of variables from 1 which represent strongly disagree to 5 as strongly agree. </w:t>
      </w:r>
    </w:p>
    <w:p w14:paraId="6BA06777" w14:textId="242DCC7F" w:rsidR="000A59E5" w:rsidRDefault="006D6845" w:rsidP="000F1EF7">
      <w:pPr>
        <w:spacing w:line="240" w:lineRule="auto"/>
        <w:ind w:firstLine="720"/>
        <w:jc w:val="both"/>
        <w:rPr>
          <w:rFonts w:ascii="Times New Roman" w:eastAsia="Times New Roman" w:hAnsi="Times New Roman" w:cs="Times New Roman"/>
          <w:color w:val="000000"/>
          <w:sz w:val="24"/>
          <w:szCs w:val="24"/>
        </w:rPr>
      </w:pPr>
      <w:r w:rsidRPr="00985BDC">
        <w:rPr>
          <w:rFonts w:ascii="Times New Roman" w:eastAsia="Times New Roman" w:hAnsi="Times New Roman" w:cs="Times New Roman"/>
          <w:color w:val="000000"/>
          <w:sz w:val="24"/>
          <w:szCs w:val="24"/>
        </w:rPr>
        <w:t>The</w:t>
      </w:r>
      <w:r w:rsidR="000A59E5" w:rsidRPr="00985BDC">
        <w:rPr>
          <w:rFonts w:ascii="Times New Roman" w:eastAsia="Times New Roman" w:hAnsi="Times New Roman" w:cs="Times New Roman"/>
          <w:color w:val="000000"/>
          <w:sz w:val="24"/>
          <w:szCs w:val="24"/>
        </w:rPr>
        <w:t xml:space="preserve"> questionnaires were randomly distributed to respondents through the social media approach such as WhatsApp and Facebook. The period for the distribution of questionnaires is over a period of </w:t>
      </w:r>
      <w:r w:rsidRPr="00985BDC">
        <w:rPr>
          <w:rFonts w:ascii="Times New Roman" w:eastAsia="Times New Roman" w:hAnsi="Times New Roman" w:cs="Times New Roman"/>
          <w:color w:val="000000"/>
          <w:sz w:val="24"/>
          <w:szCs w:val="24"/>
        </w:rPr>
        <w:t xml:space="preserve">approximately </w:t>
      </w:r>
      <w:r w:rsidR="000A59E5" w:rsidRPr="00985BDC">
        <w:rPr>
          <w:rFonts w:ascii="Times New Roman" w:eastAsia="Times New Roman" w:hAnsi="Times New Roman" w:cs="Times New Roman"/>
          <w:color w:val="000000"/>
          <w:sz w:val="24"/>
          <w:szCs w:val="24"/>
        </w:rPr>
        <w:t xml:space="preserve">three </w:t>
      </w:r>
      <w:r w:rsidRPr="00985BDC">
        <w:rPr>
          <w:rFonts w:ascii="Times New Roman" w:eastAsia="Times New Roman" w:hAnsi="Times New Roman" w:cs="Times New Roman"/>
          <w:color w:val="000000"/>
          <w:sz w:val="24"/>
          <w:szCs w:val="24"/>
        </w:rPr>
        <w:t>months.</w:t>
      </w:r>
    </w:p>
    <w:p w14:paraId="0C0AECE5" w14:textId="77777777" w:rsidR="000F1EF7" w:rsidRDefault="000F1EF7" w:rsidP="000F1EF7">
      <w:pPr>
        <w:spacing w:line="240" w:lineRule="auto"/>
        <w:ind w:firstLine="720"/>
        <w:jc w:val="both"/>
        <w:rPr>
          <w:rFonts w:ascii="Times New Roman" w:eastAsia="Times New Roman" w:hAnsi="Times New Roman" w:cs="Times New Roman"/>
          <w:color w:val="000000"/>
          <w:sz w:val="24"/>
          <w:szCs w:val="24"/>
        </w:rPr>
      </w:pPr>
    </w:p>
    <w:p w14:paraId="47717048" w14:textId="36B48F20" w:rsidR="000F1EF7" w:rsidRPr="000F1EF7" w:rsidRDefault="000F1EF7" w:rsidP="000F1EF7">
      <w:pPr>
        <w:spacing w:line="240" w:lineRule="auto"/>
        <w:ind w:firstLine="720"/>
        <w:jc w:val="center"/>
        <w:rPr>
          <w:rFonts w:ascii="Times New Roman" w:eastAsia="Times New Roman" w:hAnsi="Times New Roman" w:cs="Times New Roman"/>
          <w:b/>
          <w:color w:val="000000"/>
          <w:sz w:val="24"/>
          <w:szCs w:val="24"/>
        </w:rPr>
      </w:pPr>
      <w:r w:rsidRPr="000F1EF7">
        <w:rPr>
          <w:rFonts w:ascii="Times New Roman" w:eastAsia="Times New Roman" w:hAnsi="Times New Roman" w:cs="Times New Roman"/>
          <w:b/>
          <w:color w:val="000000"/>
          <w:sz w:val="24"/>
          <w:szCs w:val="24"/>
        </w:rPr>
        <w:t>FINDINGS AND DISCUSSIONS</w:t>
      </w:r>
    </w:p>
    <w:p w14:paraId="03AE31D3" w14:textId="3AB0FBC2" w:rsidR="002D4E28" w:rsidRPr="000F1EF7" w:rsidRDefault="002D4E28" w:rsidP="00CF29E2">
      <w:pPr>
        <w:pStyle w:val="Heading2"/>
        <w:jc w:val="both"/>
        <w:rPr>
          <w:i/>
          <w:sz w:val="24"/>
          <w:szCs w:val="24"/>
        </w:rPr>
      </w:pPr>
      <w:bookmarkStart w:id="6" w:name="_Toc8645922"/>
      <w:r w:rsidRPr="000F1EF7">
        <w:rPr>
          <w:i/>
          <w:sz w:val="24"/>
          <w:szCs w:val="24"/>
        </w:rPr>
        <w:t>Profile of Respondents</w:t>
      </w:r>
      <w:bookmarkEnd w:id="6"/>
    </w:p>
    <w:p w14:paraId="4CBA2D37" w14:textId="1E81E707" w:rsidR="002D4E28" w:rsidRDefault="002D4E28" w:rsidP="00CF29E2">
      <w:pPr>
        <w:autoSpaceDE w:val="0"/>
        <w:autoSpaceDN w:val="0"/>
        <w:adjustRightInd w:val="0"/>
        <w:spacing w:after="0" w:line="240" w:lineRule="auto"/>
        <w:jc w:val="both"/>
        <w:rPr>
          <w:rFonts w:ascii="Times New Roman" w:hAnsi="Times New Roman" w:cs="Times New Roman"/>
          <w:sz w:val="24"/>
          <w:szCs w:val="24"/>
        </w:rPr>
      </w:pPr>
      <w:r w:rsidRPr="00985BDC">
        <w:rPr>
          <w:rFonts w:ascii="Times New Roman" w:hAnsi="Times New Roman" w:cs="Times New Roman"/>
          <w:sz w:val="24"/>
          <w:szCs w:val="24"/>
        </w:rPr>
        <w:t xml:space="preserve">A total of 130 questionnaires were obtained </w:t>
      </w:r>
      <w:r w:rsidR="006D6845" w:rsidRPr="00985BDC">
        <w:rPr>
          <w:rFonts w:ascii="Times New Roman" w:hAnsi="Times New Roman" w:cs="Times New Roman"/>
          <w:sz w:val="24"/>
          <w:szCs w:val="24"/>
        </w:rPr>
        <w:t xml:space="preserve">with the following </w:t>
      </w:r>
      <w:r w:rsidRPr="00985BDC">
        <w:rPr>
          <w:rFonts w:ascii="Times New Roman" w:hAnsi="Times New Roman" w:cs="Times New Roman"/>
          <w:sz w:val="24"/>
          <w:szCs w:val="24"/>
        </w:rPr>
        <w:t>demography background</w:t>
      </w:r>
      <w:r w:rsidR="006D6845" w:rsidRPr="00985BDC">
        <w:rPr>
          <w:rFonts w:ascii="Times New Roman" w:hAnsi="Times New Roman" w:cs="Times New Roman"/>
          <w:sz w:val="24"/>
          <w:szCs w:val="24"/>
        </w:rPr>
        <w:t>s:</w:t>
      </w:r>
    </w:p>
    <w:p w14:paraId="7888BCB3" w14:textId="5DA666E1" w:rsidR="00195CEE" w:rsidRDefault="00195CEE" w:rsidP="00CF29E2">
      <w:pPr>
        <w:autoSpaceDE w:val="0"/>
        <w:autoSpaceDN w:val="0"/>
        <w:adjustRightInd w:val="0"/>
        <w:spacing w:after="0" w:line="240" w:lineRule="auto"/>
        <w:jc w:val="both"/>
        <w:rPr>
          <w:rFonts w:ascii="Times New Roman" w:hAnsi="Times New Roman" w:cs="Times New Roman"/>
          <w:sz w:val="24"/>
          <w:szCs w:val="24"/>
        </w:rPr>
      </w:pPr>
    </w:p>
    <w:p w14:paraId="53C5A62C" w14:textId="77777777" w:rsidR="00195CEE" w:rsidRPr="00985BDC" w:rsidRDefault="00195CEE" w:rsidP="00CF29E2">
      <w:pPr>
        <w:autoSpaceDE w:val="0"/>
        <w:autoSpaceDN w:val="0"/>
        <w:adjustRightInd w:val="0"/>
        <w:spacing w:after="0" w:line="240" w:lineRule="auto"/>
        <w:jc w:val="both"/>
        <w:rPr>
          <w:rFonts w:ascii="Times New Roman" w:hAnsi="Times New Roman" w:cs="Times New Roman"/>
          <w:sz w:val="24"/>
          <w:szCs w:val="24"/>
        </w:rPr>
      </w:pPr>
    </w:p>
    <w:tbl>
      <w:tblPr>
        <w:tblW w:w="8190" w:type="dxa"/>
        <w:jc w:val="center"/>
        <w:tblBorders>
          <w:top w:val="single" w:sz="4" w:space="0" w:color="auto"/>
          <w:bottom w:val="single" w:sz="4" w:space="0" w:color="auto"/>
        </w:tblBorders>
        <w:tblLook w:val="04A0" w:firstRow="1" w:lastRow="0" w:firstColumn="1" w:lastColumn="0" w:noHBand="0" w:noVBand="1"/>
      </w:tblPr>
      <w:tblGrid>
        <w:gridCol w:w="3219"/>
        <w:gridCol w:w="2645"/>
        <w:gridCol w:w="2326"/>
      </w:tblGrid>
      <w:tr w:rsidR="00195CEE" w:rsidRPr="00985BDC" w14:paraId="13CE7F06" w14:textId="77777777" w:rsidTr="00195CEE">
        <w:trPr>
          <w:trHeight w:hRule="exact" w:val="216"/>
          <w:jc w:val="center"/>
        </w:trPr>
        <w:tc>
          <w:tcPr>
            <w:tcW w:w="3219" w:type="dxa"/>
            <w:vMerge w:val="restart"/>
            <w:tcBorders>
              <w:top w:val="single" w:sz="4" w:space="0" w:color="auto"/>
              <w:bottom w:val="single" w:sz="4" w:space="0" w:color="auto"/>
            </w:tcBorders>
            <w:shd w:val="clear" w:color="auto" w:fill="auto"/>
            <w:vAlign w:val="center"/>
            <w:hideMark/>
          </w:tcPr>
          <w:p w14:paraId="1236CFAC" w14:textId="77777777" w:rsidR="00195CEE" w:rsidRPr="00985BDC" w:rsidRDefault="00195CEE" w:rsidP="00195CEE">
            <w:pPr>
              <w:spacing w:after="0" w:line="240" w:lineRule="auto"/>
              <w:rPr>
                <w:rFonts w:ascii="Times New Roman" w:eastAsia="Times New Roman" w:hAnsi="Times New Roman" w:cs="Times New Roman"/>
                <w:b/>
                <w:color w:val="000000"/>
                <w:sz w:val="20"/>
                <w:szCs w:val="20"/>
                <w:lang w:eastAsia="en-MY"/>
              </w:rPr>
            </w:pPr>
            <w:r w:rsidRPr="00985BDC">
              <w:rPr>
                <w:rFonts w:ascii="Times New Roman" w:eastAsia="Times New Roman" w:hAnsi="Times New Roman" w:cs="Times New Roman"/>
                <w:b/>
                <w:color w:val="000000"/>
                <w:sz w:val="20"/>
                <w:szCs w:val="20"/>
                <w:lang w:eastAsia="en-MY"/>
              </w:rPr>
              <w:t>Characteristics</w:t>
            </w:r>
          </w:p>
        </w:tc>
        <w:tc>
          <w:tcPr>
            <w:tcW w:w="4971" w:type="dxa"/>
            <w:gridSpan w:val="2"/>
            <w:tcBorders>
              <w:top w:val="single" w:sz="4" w:space="0" w:color="auto"/>
              <w:bottom w:val="single" w:sz="4" w:space="0" w:color="auto"/>
            </w:tcBorders>
            <w:shd w:val="clear" w:color="auto" w:fill="auto"/>
            <w:noWrap/>
            <w:vAlign w:val="bottom"/>
            <w:hideMark/>
          </w:tcPr>
          <w:p w14:paraId="5BC9A82A" w14:textId="77777777" w:rsidR="00195CEE" w:rsidRPr="00985BDC" w:rsidRDefault="00195CEE" w:rsidP="00195CEE">
            <w:pPr>
              <w:spacing w:after="0" w:line="240" w:lineRule="auto"/>
              <w:jc w:val="center"/>
              <w:rPr>
                <w:rFonts w:ascii="Times New Roman" w:eastAsia="Times New Roman" w:hAnsi="Times New Roman" w:cs="Times New Roman"/>
                <w:b/>
                <w:color w:val="000000"/>
                <w:sz w:val="20"/>
                <w:szCs w:val="20"/>
                <w:lang w:eastAsia="en-MY"/>
              </w:rPr>
            </w:pPr>
            <w:r w:rsidRPr="00985BDC">
              <w:rPr>
                <w:rFonts w:ascii="Times New Roman" w:eastAsia="Times New Roman" w:hAnsi="Times New Roman" w:cs="Times New Roman"/>
                <w:b/>
                <w:color w:val="000000"/>
                <w:sz w:val="20"/>
                <w:szCs w:val="20"/>
                <w:lang w:eastAsia="en-MY"/>
              </w:rPr>
              <w:t>Respondents</w:t>
            </w:r>
            <w:r>
              <w:rPr>
                <w:rFonts w:ascii="Times New Roman" w:eastAsia="Times New Roman" w:hAnsi="Times New Roman" w:cs="Times New Roman"/>
                <w:b/>
                <w:color w:val="000000"/>
                <w:sz w:val="20"/>
                <w:szCs w:val="20"/>
                <w:lang w:eastAsia="en-MY"/>
              </w:rPr>
              <w:t xml:space="preserve"> </w:t>
            </w:r>
            <w:r w:rsidRPr="00985BDC">
              <w:rPr>
                <w:rFonts w:ascii="Times New Roman" w:eastAsia="Times New Roman" w:hAnsi="Times New Roman" w:cs="Times New Roman"/>
                <w:b/>
                <w:color w:val="000000"/>
                <w:sz w:val="20"/>
                <w:szCs w:val="20"/>
                <w:lang w:eastAsia="en-MY"/>
              </w:rPr>
              <w:t>(N = 130)</w:t>
            </w:r>
          </w:p>
          <w:p w14:paraId="62453350" w14:textId="77777777" w:rsidR="00195CEE" w:rsidRPr="00985BDC" w:rsidRDefault="00195CEE" w:rsidP="00195CEE">
            <w:pPr>
              <w:spacing w:after="0" w:line="240" w:lineRule="auto"/>
              <w:jc w:val="center"/>
              <w:rPr>
                <w:rFonts w:ascii="Times New Roman" w:eastAsia="Times New Roman" w:hAnsi="Times New Roman" w:cs="Times New Roman"/>
                <w:b/>
                <w:color w:val="000000"/>
                <w:sz w:val="20"/>
                <w:szCs w:val="20"/>
                <w:lang w:eastAsia="en-MY"/>
              </w:rPr>
            </w:pPr>
          </w:p>
        </w:tc>
      </w:tr>
      <w:tr w:rsidR="00195CEE" w:rsidRPr="00985BDC" w14:paraId="1DADA242" w14:textId="77777777" w:rsidTr="00195CEE">
        <w:trPr>
          <w:trHeight w:hRule="exact" w:val="216"/>
          <w:jc w:val="center"/>
        </w:trPr>
        <w:tc>
          <w:tcPr>
            <w:tcW w:w="3219" w:type="dxa"/>
            <w:vMerge/>
            <w:tcBorders>
              <w:top w:val="single" w:sz="4" w:space="0" w:color="auto"/>
              <w:bottom w:val="single" w:sz="4" w:space="0" w:color="auto"/>
            </w:tcBorders>
            <w:vAlign w:val="center"/>
            <w:hideMark/>
          </w:tcPr>
          <w:p w14:paraId="73EBBF6D" w14:textId="77777777" w:rsidR="00195CEE" w:rsidRPr="00985BDC" w:rsidRDefault="00195CEE" w:rsidP="004064A1">
            <w:pPr>
              <w:spacing w:after="0" w:line="240" w:lineRule="auto"/>
              <w:jc w:val="both"/>
              <w:rPr>
                <w:rFonts w:ascii="Times New Roman" w:eastAsia="Times New Roman" w:hAnsi="Times New Roman" w:cs="Times New Roman"/>
                <w:b/>
                <w:color w:val="000000"/>
                <w:sz w:val="20"/>
                <w:szCs w:val="20"/>
                <w:lang w:eastAsia="en-MY"/>
              </w:rPr>
            </w:pPr>
          </w:p>
        </w:tc>
        <w:tc>
          <w:tcPr>
            <w:tcW w:w="2645" w:type="dxa"/>
            <w:tcBorders>
              <w:top w:val="single" w:sz="4" w:space="0" w:color="auto"/>
              <w:bottom w:val="single" w:sz="4" w:space="0" w:color="auto"/>
            </w:tcBorders>
            <w:shd w:val="clear" w:color="auto" w:fill="auto"/>
            <w:vAlign w:val="bottom"/>
            <w:hideMark/>
          </w:tcPr>
          <w:p w14:paraId="361BA5EB" w14:textId="77777777" w:rsidR="00195CEE" w:rsidRPr="00985BDC" w:rsidRDefault="00195CEE" w:rsidP="00195CEE">
            <w:pPr>
              <w:spacing w:after="0" w:line="240" w:lineRule="auto"/>
              <w:jc w:val="center"/>
              <w:rPr>
                <w:rFonts w:ascii="Times New Roman" w:eastAsia="Times New Roman" w:hAnsi="Times New Roman" w:cs="Times New Roman"/>
                <w:b/>
                <w:color w:val="000000"/>
                <w:sz w:val="20"/>
                <w:szCs w:val="20"/>
                <w:lang w:eastAsia="en-MY"/>
              </w:rPr>
            </w:pPr>
            <w:r w:rsidRPr="00985BDC">
              <w:rPr>
                <w:rFonts w:ascii="Times New Roman" w:eastAsia="Times New Roman" w:hAnsi="Times New Roman" w:cs="Times New Roman"/>
                <w:b/>
                <w:color w:val="000000"/>
                <w:sz w:val="20"/>
                <w:szCs w:val="20"/>
                <w:lang w:eastAsia="en-MY"/>
              </w:rPr>
              <w:t>Frequency</w:t>
            </w:r>
          </w:p>
        </w:tc>
        <w:tc>
          <w:tcPr>
            <w:tcW w:w="2326" w:type="dxa"/>
            <w:tcBorders>
              <w:top w:val="single" w:sz="4" w:space="0" w:color="auto"/>
              <w:bottom w:val="single" w:sz="4" w:space="0" w:color="auto"/>
            </w:tcBorders>
            <w:shd w:val="clear" w:color="auto" w:fill="auto"/>
            <w:vAlign w:val="bottom"/>
            <w:hideMark/>
          </w:tcPr>
          <w:p w14:paraId="5DB902CF" w14:textId="77777777" w:rsidR="00195CEE" w:rsidRPr="00985BDC" w:rsidRDefault="00195CEE" w:rsidP="00195CEE">
            <w:pPr>
              <w:spacing w:after="0" w:line="240" w:lineRule="auto"/>
              <w:jc w:val="center"/>
              <w:rPr>
                <w:rFonts w:ascii="Times New Roman" w:eastAsia="Times New Roman" w:hAnsi="Times New Roman" w:cs="Times New Roman"/>
                <w:b/>
                <w:color w:val="000000"/>
                <w:sz w:val="20"/>
                <w:szCs w:val="20"/>
                <w:lang w:eastAsia="en-MY"/>
              </w:rPr>
            </w:pPr>
            <w:r w:rsidRPr="00985BDC">
              <w:rPr>
                <w:rFonts w:ascii="Times New Roman" w:eastAsia="Times New Roman" w:hAnsi="Times New Roman" w:cs="Times New Roman"/>
                <w:b/>
                <w:color w:val="000000"/>
                <w:sz w:val="20"/>
                <w:szCs w:val="20"/>
                <w:lang w:eastAsia="en-MY"/>
              </w:rPr>
              <w:t>Percentage (%)</w:t>
            </w:r>
          </w:p>
        </w:tc>
      </w:tr>
      <w:tr w:rsidR="00195CEE" w:rsidRPr="00985BDC" w14:paraId="7928C03F" w14:textId="77777777" w:rsidTr="00195CEE">
        <w:trPr>
          <w:trHeight w:hRule="exact" w:val="216"/>
          <w:jc w:val="center"/>
        </w:trPr>
        <w:tc>
          <w:tcPr>
            <w:tcW w:w="3219" w:type="dxa"/>
            <w:tcBorders>
              <w:top w:val="single" w:sz="4" w:space="0" w:color="auto"/>
            </w:tcBorders>
            <w:shd w:val="clear" w:color="auto" w:fill="auto"/>
            <w:noWrap/>
            <w:vAlign w:val="bottom"/>
            <w:hideMark/>
          </w:tcPr>
          <w:p w14:paraId="29367666" w14:textId="77777777" w:rsidR="00195CEE" w:rsidRPr="00301234" w:rsidRDefault="00195CEE" w:rsidP="004064A1">
            <w:pPr>
              <w:spacing w:after="0" w:line="240" w:lineRule="auto"/>
              <w:jc w:val="both"/>
              <w:rPr>
                <w:rFonts w:ascii="Times New Roman" w:eastAsia="Times New Roman" w:hAnsi="Times New Roman" w:cs="Times New Roman"/>
                <w:b/>
                <w:color w:val="000000"/>
                <w:sz w:val="20"/>
                <w:szCs w:val="20"/>
                <w:lang w:eastAsia="en-MY"/>
              </w:rPr>
            </w:pPr>
            <w:r w:rsidRPr="00301234">
              <w:rPr>
                <w:rFonts w:ascii="Times New Roman" w:eastAsia="Times New Roman" w:hAnsi="Times New Roman" w:cs="Times New Roman"/>
                <w:b/>
                <w:color w:val="000000"/>
                <w:sz w:val="20"/>
                <w:szCs w:val="20"/>
                <w:lang w:eastAsia="en-MY"/>
              </w:rPr>
              <w:t>Gender</w:t>
            </w:r>
          </w:p>
        </w:tc>
        <w:tc>
          <w:tcPr>
            <w:tcW w:w="2645" w:type="dxa"/>
            <w:tcBorders>
              <w:top w:val="single" w:sz="4" w:space="0" w:color="auto"/>
            </w:tcBorders>
            <w:shd w:val="clear" w:color="auto" w:fill="auto"/>
            <w:noWrap/>
            <w:vAlign w:val="bottom"/>
            <w:hideMark/>
          </w:tcPr>
          <w:p w14:paraId="2968F847"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u w:val="single"/>
                <w:lang w:eastAsia="en-MY"/>
              </w:rPr>
            </w:pPr>
          </w:p>
        </w:tc>
        <w:tc>
          <w:tcPr>
            <w:tcW w:w="2326" w:type="dxa"/>
            <w:tcBorders>
              <w:top w:val="single" w:sz="4" w:space="0" w:color="auto"/>
            </w:tcBorders>
            <w:shd w:val="clear" w:color="auto" w:fill="auto"/>
            <w:noWrap/>
            <w:vAlign w:val="bottom"/>
            <w:hideMark/>
          </w:tcPr>
          <w:p w14:paraId="3B0991BD"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u w:val="single"/>
                <w:lang w:eastAsia="en-MY"/>
              </w:rPr>
            </w:pPr>
          </w:p>
        </w:tc>
      </w:tr>
      <w:tr w:rsidR="00195CEE" w:rsidRPr="00985BDC" w14:paraId="1EBB46BD" w14:textId="77777777" w:rsidTr="00195CEE">
        <w:trPr>
          <w:trHeight w:hRule="exact" w:val="216"/>
          <w:jc w:val="center"/>
        </w:trPr>
        <w:tc>
          <w:tcPr>
            <w:tcW w:w="3219" w:type="dxa"/>
            <w:tcBorders>
              <w:bottom w:val="nil"/>
            </w:tcBorders>
            <w:shd w:val="clear" w:color="auto" w:fill="auto"/>
            <w:hideMark/>
          </w:tcPr>
          <w:p w14:paraId="2B6420C2"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Female</w:t>
            </w:r>
          </w:p>
        </w:tc>
        <w:tc>
          <w:tcPr>
            <w:tcW w:w="2645" w:type="dxa"/>
            <w:tcBorders>
              <w:bottom w:val="nil"/>
            </w:tcBorders>
            <w:shd w:val="clear" w:color="auto" w:fill="auto"/>
            <w:noWrap/>
            <w:hideMark/>
          </w:tcPr>
          <w:p w14:paraId="3B496D4C"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95</w:t>
            </w:r>
          </w:p>
        </w:tc>
        <w:tc>
          <w:tcPr>
            <w:tcW w:w="2326" w:type="dxa"/>
            <w:tcBorders>
              <w:bottom w:val="nil"/>
            </w:tcBorders>
            <w:shd w:val="clear" w:color="auto" w:fill="auto"/>
            <w:noWrap/>
            <w:hideMark/>
          </w:tcPr>
          <w:p w14:paraId="0AF2C6A4"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73.1</w:t>
            </w:r>
          </w:p>
        </w:tc>
      </w:tr>
      <w:tr w:rsidR="00195CEE" w:rsidRPr="00985BDC" w14:paraId="1E89CC36" w14:textId="77777777" w:rsidTr="00195CEE">
        <w:trPr>
          <w:trHeight w:hRule="exact" w:val="216"/>
          <w:jc w:val="center"/>
        </w:trPr>
        <w:tc>
          <w:tcPr>
            <w:tcW w:w="3219" w:type="dxa"/>
            <w:tcBorders>
              <w:top w:val="nil"/>
              <w:bottom w:val="single" w:sz="4" w:space="0" w:color="auto"/>
            </w:tcBorders>
            <w:shd w:val="clear" w:color="auto" w:fill="auto"/>
            <w:hideMark/>
          </w:tcPr>
          <w:p w14:paraId="11958D3D"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Male</w:t>
            </w:r>
          </w:p>
        </w:tc>
        <w:tc>
          <w:tcPr>
            <w:tcW w:w="2645" w:type="dxa"/>
            <w:tcBorders>
              <w:top w:val="nil"/>
              <w:bottom w:val="single" w:sz="4" w:space="0" w:color="auto"/>
            </w:tcBorders>
            <w:shd w:val="clear" w:color="auto" w:fill="auto"/>
            <w:noWrap/>
            <w:hideMark/>
          </w:tcPr>
          <w:p w14:paraId="31582910"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35</w:t>
            </w:r>
          </w:p>
        </w:tc>
        <w:tc>
          <w:tcPr>
            <w:tcW w:w="2326" w:type="dxa"/>
            <w:tcBorders>
              <w:top w:val="nil"/>
              <w:bottom w:val="single" w:sz="4" w:space="0" w:color="auto"/>
            </w:tcBorders>
            <w:shd w:val="clear" w:color="auto" w:fill="auto"/>
            <w:noWrap/>
            <w:hideMark/>
          </w:tcPr>
          <w:p w14:paraId="1E2C24BB"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26.9</w:t>
            </w:r>
          </w:p>
        </w:tc>
      </w:tr>
      <w:tr w:rsidR="00195CEE" w:rsidRPr="00985BDC" w14:paraId="500CCA84" w14:textId="77777777" w:rsidTr="00195CEE">
        <w:trPr>
          <w:trHeight w:hRule="exact" w:val="216"/>
          <w:jc w:val="center"/>
        </w:trPr>
        <w:tc>
          <w:tcPr>
            <w:tcW w:w="3219" w:type="dxa"/>
            <w:tcBorders>
              <w:top w:val="single" w:sz="4" w:space="0" w:color="auto"/>
            </w:tcBorders>
            <w:shd w:val="clear" w:color="auto" w:fill="auto"/>
            <w:noWrap/>
            <w:vAlign w:val="bottom"/>
            <w:hideMark/>
          </w:tcPr>
          <w:p w14:paraId="276C08E3" w14:textId="77777777" w:rsidR="00195CEE" w:rsidRPr="00301234" w:rsidRDefault="00195CEE" w:rsidP="004064A1">
            <w:pPr>
              <w:spacing w:after="0" w:line="240" w:lineRule="auto"/>
              <w:jc w:val="both"/>
              <w:rPr>
                <w:rFonts w:ascii="Times New Roman" w:eastAsia="Times New Roman" w:hAnsi="Times New Roman" w:cs="Times New Roman"/>
                <w:b/>
                <w:color w:val="000000"/>
                <w:sz w:val="20"/>
                <w:szCs w:val="20"/>
                <w:lang w:eastAsia="en-MY"/>
              </w:rPr>
            </w:pPr>
            <w:r w:rsidRPr="00301234">
              <w:rPr>
                <w:rFonts w:ascii="Times New Roman" w:eastAsia="Times New Roman" w:hAnsi="Times New Roman" w:cs="Times New Roman"/>
                <w:b/>
                <w:color w:val="000000"/>
                <w:sz w:val="20"/>
                <w:szCs w:val="20"/>
                <w:lang w:eastAsia="en-MY"/>
              </w:rPr>
              <w:t>Age</w:t>
            </w:r>
          </w:p>
        </w:tc>
        <w:tc>
          <w:tcPr>
            <w:tcW w:w="2645" w:type="dxa"/>
            <w:tcBorders>
              <w:top w:val="single" w:sz="4" w:space="0" w:color="auto"/>
            </w:tcBorders>
            <w:shd w:val="clear" w:color="auto" w:fill="auto"/>
            <w:noWrap/>
            <w:vAlign w:val="bottom"/>
            <w:hideMark/>
          </w:tcPr>
          <w:p w14:paraId="769DBB10" w14:textId="34114A38"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tc>
        <w:tc>
          <w:tcPr>
            <w:tcW w:w="2326" w:type="dxa"/>
            <w:tcBorders>
              <w:top w:val="single" w:sz="4" w:space="0" w:color="auto"/>
            </w:tcBorders>
            <w:shd w:val="clear" w:color="auto" w:fill="auto"/>
            <w:noWrap/>
            <w:vAlign w:val="bottom"/>
            <w:hideMark/>
          </w:tcPr>
          <w:p w14:paraId="1C1E4369" w14:textId="165908CF"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tc>
      </w:tr>
      <w:tr w:rsidR="00195CEE" w:rsidRPr="00985BDC" w14:paraId="02B82EB3" w14:textId="77777777" w:rsidTr="00195CEE">
        <w:trPr>
          <w:trHeight w:hRule="exact" w:val="216"/>
          <w:jc w:val="center"/>
        </w:trPr>
        <w:tc>
          <w:tcPr>
            <w:tcW w:w="3219" w:type="dxa"/>
            <w:shd w:val="clear" w:color="auto" w:fill="auto"/>
            <w:hideMark/>
          </w:tcPr>
          <w:p w14:paraId="15C20CB6"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18-24</w:t>
            </w:r>
          </w:p>
        </w:tc>
        <w:tc>
          <w:tcPr>
            <w:tcW w:w="2645" w:type="dxa"/>
            <w:shd w:val="clear" w:color="auto" w:fill="auto"/>
            <w:noWrap/>
            <w:hideMark/>
          </w:tcPr>
          <w:p w14:paraId="506E6507"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90</w:t>
            </w:r>
          </w:p>
        </w:tc>
        <w:tc>
          <w:tcPr>
            <w:tcW w:w="2326" w:type="dxa"/>
            <w:shd w:val="clear" w:color="auto" w:fill="auto"/>
            <w:noWrap/>
            <w:hideMark/>
          </w:tcPr>
          <w:p w14:paraId="36269F40"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69.2</w:t>
            </w:r>
          </w:p>
        </w:tc>
      </w:tr>
      <w:tr w:rsidR="00195CEE" w:rsidRPr="00985BDC" w14:paraId="5241FC34" w14:textId="77777777" w:rsidTr="00195CEE">
        <w:trPr>
          <w:trHeight w:hRule="exact" w:val="216"/>
          <w:jc w:val="center"/>
        </w:trPr>
        <w:tc>
          <w:tcPr>
            <w:tcW w:w="3219" w:type="dxa"/>
            <w:shd w:val="clear" w:color="auto" w:fill="auto"/>
            <w:hideMark/>
          </w:tcPr>
          <w:p w14:paraId="6EE43156"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25-34</w:t>
            </w:r>
          </w:p>
        </w:tc>
        <w:tc>
          <w:tcPr>
            <w:tcW w:w="2645" w:type="dxa"/>
            <w:shd w:val="clear" w:color="auto" w:fill="auto"/>
            <w:noWrap/>
            <w:hideMark/>
          </w:tcPr>
          <w:p w14:paraId="4345A5CF"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27</w:t>
            </w:r>
          </w:p>
        </w:tc>
        <w:tc>
          <w:tcPr>
            <w:tcW w:w="2326" w:type="dxa"/>
            <w:shd w:val="clear" w:color="auto" w:fill="auto"/>
            <w:noWrap/>
            <w:hideMark/>
          </w:tcPr>
          <w:p w14:paraId="61F6C074"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20.8</w:t>
            </w:r>
          </w:p>
        </w:tc>
      </w:tr>
      <w:tr w:rsidR="00195CEE" w:rsidRPr="00985BDC" w14:paraId="6D5789B8" w14:textId="77777777" w:rsidTr="00195CEE">
        <w:trPr>
          <w:trHeight w:hRule="exact" w:val="216"/>
          <w:jc w:val="center"/>
        </w:trPr>
        <w:tc>
          <w:tcPr>
            <w:tcW w:w="3219" w:type="dxa"/>
            <w:shd w:val="clear" w:color="auto" w:fill="auto"/>
            <w:hideMark/>
          </w:tcPr>
          <w:p w14:paraId="48753D78"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lastRenderedPageBreak/>
              <w:t>35-44</w:t>
            </w:r>
          </w:p>
        </w:tc>
        <w:tc>
          <w:tcPr>
            <w:tcW w:w="2645" w:type="dxa"/>
            <w:shd w:val="clear" w:color="auto" w:fill="auto"/>
            <w:noWrap/>
            <w:hideMark/>
          </w:tcPr>
          <w:p w14:paraId="54C3F19E"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4</w:t>
            </w:r>
          </w:p>
        </w:tc>
        <w:tc>
          <w:tcPr>
            <w:tcW w:w="2326" w:type="dxa"/>
            <w:shd w:val="clear" w:color="auto" w:fill="auto"/>
            <w:noWrap/>
            <w:hideMark/>
          </w:tcPr>
          <w:p w14:paraId="7C19301C"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3.1</w:t>
            </w:r>
          </w:p>
        </w:tc>
      </w:tr>
      <w:tr w:rsidR="00195CEE" w:rsidRPr="00985BDC" w14:paraId="135EC0F9" w14:textId="77777777" w:rsidTr="00195CEE">
        <w:trPr>
          <w:trHeight w:hRule="exact" w:val="216"/>
          <w:jc w:val="center"/>
        </w:trPr>
        <w:tc>
          <w:tcPr>
            <w:tcW w:w="3219" w:type="dxa"/>
            <w:shd w:val="clear" w:color="auto" w:fill="auto"/>
            <w:hideMark/>
          </w:tcPr>
          <w:p w14:paraId="524B593E"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45-54</w:t>
            </w:r>
          </w:p>
        </w:tc>
        <w:tc>
          <w:tcPr>
            <w:tcW w:w="2645" w:type="dxa"/>
            <w:shd w:val="clear" w:color="auto" w:fill="auto"/>
            <w:noWrap/>
            <w:hideMark/>
          </w:tcPr>
          <w:p w14:paraId="2FAB940A"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6</w:t>
            </w:r>
          </w:p>
        </w:tc>
        <w:tc>
          <w:tcPr>
            <w:tcW w:w="2326" w:type="dxa"/>
            <w:shd w:val="clear" w:color="auto" w:fill="auto"/>
            <w:noWrap/>
            <w:hideMark/>
          </w:tcPr>
          <w:p w14:paraId="645B086A"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4.6</w:t>
            </w:r>
          </w:p>
        </w:tc>
      </w:tr>
      <w:tr w:rsidR="00195CEE" w:rsidRPr="00985BDC" w14:paraId="7859A950" w14:textId="77777777" w:rsidTr="00195CEE">
        <w:trPr>
          <w:trHeight w:hRule="exact" w:val="216"/>
          <w:jc w:val="center"/>
        </w:trPr>
        <w:tc>
          <w:tcPr>
            <w:tcW w:w="3219" w:type="dxa"/>
            <w:tcBorders>
              <w:bottom w:val="nil"/>
            </w:tcBorders>
            <w:shd w:val="clear" w:color="auto" w:fill="auto"/>
            <w:hideMark/>
          </w:tcPr>
          <w:p w14:paraId="351DCA9A"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55-67</w:t>
            </w:r>
          </w:p>
        </w:tc>
        <w:tc>
          <w:tcPr>
            <w:tcW w:w="2645" w:type="dxa"/>
            <w:tcBorders>
              <w:bottom w:val="nil"/>
            </w:tcBorders>
            <w:shd w:val="clear" w:color="auto" w:fill="auto"/>
            <w:noWrap/>
            <w:hideMark/>
          </w:tcPr>
          <w:p w14:paraId="52F24DFC"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2</w:t>
            </w:r>
          </w:p>
        </w:tc>
        <w:tc>
          <w:tcPr>
            <w:tcW w:w="2326" w:type="dxa"/>
            <w:tcBorders>
              <w:bottom w:val="nil"/>
            </w:tcBorders>
            <w:shd w:val="clear" w:color="auto" w:fill="auto"/>
            <w:noWrap/>
            <w:hideMark/>
          </w:tcPr>
          <w:p w14:paraId="34A6A6CC"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1.5</w:t>
            </w:r>
          </w:p>
        </w:tc>
      </w:tr>
      <w:tr w:rsidR="00195CEE" w:rsidRPr="00985BDC" w14:paraId="3BCB1F51" w14:textId="77777777" w:rsidTr="00195CEE">
        <w:trPr>
          <w:trHeight w:hRule="exact" w:val="216"/>
          <w:jc w:val="center"/>
        </w:trPr>
        <w:tc>
          <w:tcPr>
            <w:tcW w:w="3219" w:type="dxa"/>
            <w:tcBorders>
              <w:top w:val="nil"/>
              <w:bottom w:val="single" w:sz="4" w:space="0" w:color="auto"/>
            </w:tcBorders>
            <w:shd w:val="clear" w:color="auto" w:fill="auto"/>
            <w:hideMark/>
          </w:tcPr>
          <w:p w14:paraId="22C14DA9"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68+</w:t>
            </w:r>
          </w:p>
        </w:tc>
        <w:tc>
          <w:tcPr>
            <w:tcW w:w="2645" w:type="dxa"/>
            <w:tcBorders>
              <w:top w:val="nil"/>
              <w:bottom w:val="single" w:sz="4" w:space="0" w:color="auto"/>
            </w:tcBorders>
            <w:shd w:val="clear" w:color="auto" w:fill="auto"/>
            <w:noWrap/>
            <w:hideMark/>
          </w:tcPr>
          <w:p w14:paraId="6CCD1FF0"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w:t>
            </w:r>
          </w:p>
        </w:tc>
        <w:tc>
          <w:tcPr>
            <w:tcW w:w="2326" w:type="dxa"/>
            <w:tcBorders>
              <w:top w:val="nil"/>
              <w:bottom w:val="single" w:sz="4" w:space="0" w:color="auto"/>
            </w:tcBorders>
            <w:shd w:val="clear" w:color="auto" w:fill="auto"/>
            <w:noWrap/>
            <w:hideMark/>
          </w:tcPr>
          <w:p w14:paraId="144F2856"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.8</w:t>
            </w:r>
          </w:p>
        </w:tc>
      </w:tr>
      <w:tr w:rsidR="00195CEE" w:rsidRPr="00985BDC" w14:paraId="528E05BD" w14:textId="77777777" w:rsidTr="00195CEE">
        <w:trPr>
          <w:trHeight w:hRule="exact" w:val="216"/>
          <w:jc w:val="center"/>
        </w:trPr>
        <w:tc>
          <w:tcPr>
            <w:tcW w:w="3219" w:type="dxa"/>
            <w:tcBorders>
              <w:top w:val="single" w:sz="4" w:space="0" w:color="auto"/>
            </w:tcBorders>
            <w:shd w:val="clear" w:color="auto" w:fill="auto"/>
            <w:noWrap/>
            <w:vAlign w:val="bottom"/>
            <w:hideMark/>
          </w:tcPr>
          <w:p w14:paraId="7A7D497A" w14:textId="77777777" w:rsidR="00195CEE" w:rsidRPr="00301234" w:rsidRDefault="00195CEE" w:rsidP="004064A1">
            <w:pPr>
              <w:spacing w:after="0" w:line="240" w:lineRule="auto"/>
              <w:jc w:val="both"/>
              <w:rPr>
                <w:rFonts w:ascii="Times New Roman" w:eastAsia="Times New Roman" w:hAnsi="Times New Roman" w:cs="Times New Roman"/>
                <w:b/>
                <w:color w:val="000000"/>
                <w:sz w:val="20"/>
                <w:szCs w:val="20"/>
                <w:lang w:eastAsia="en-MY"/>
              </w:rPr>
            </w:pPr>
            <w:r w:rsidRPr="00301234">
              <w:rPr>
                <w:rFonts w:ascii="Times New Roman" w:eastAsia="Times New Roman" w:hAnsi="Times New Roman" w:cs="Times New Roman"/>
                <w:b/>
                <w:color w:val="000000"/>
                <w:sz w:val="20"/>
                <w:szCs w:val="20"/>
                <w:lang w:eastAsia="en-MY"/>
              </w:rPr>
              <w:t>Ethnicity</w:t>
            </w:r>
          </w:p>
        </w:tc>
        <w:tc>
          <w:tcPr>
            <w:tcW w:w="2645" w:type="dxa"/>
            <w:tcBorders>
              <w:top w:val="single" w:sz="4" w:space="0" w:color="auto"/>
            </w:tcBorders>
            <w:shd w:val="clear" w:color="auto" w:fill="auto"/>
            <w:noWrap/>
            <w:vAlign w:val="bottom"/>
            <w:hideMark/>
          </w:tcPr>
          <w:p w14:paraId="3378D278" w14:textId="70B3A518"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tc>
        <w:tc>
          <w:tcPr>
            <w:tcW w:w="2326" w:type="dxa"/>
            <w:tcBorders>
              <w:top w:val="single" w:sz="4" w:space="0" w:color="auto"/>
            </w:tcBorders>
            <w:shd w:val="clear" w:color="auto" w:fill="auto"/>
            <w:noWrap/>
            <w:vAlign w:val="bottom"/>
            <w:hideMark/>
          </w:tcPr>
          <w:p w14:paraId="3D2F16E4" w14:textId="36D176E4"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tc>
      </w:tr>
      <w:tr w:rsidR="00195CEE" w:rsidRPr="00985BDC" w14:paraId="6BF9C781" w14:textId="77777777" w:rsidTr="00195CEE">
        <w:trPr>
          <w:trHeight w:hRule="exact" w:val="216"/>
          <w:jc w:val="center"/>
        </w:trPr>
        <w:tc>
          <w:tcPr>
            <w:tcW w:w="3219" w:type="dxa"/>
            <w:shd w:val="clear" w:color="auto" w:fill="auto"/>
            <w:hideMark/>
          </w:tcPr>
          <w:p w14:paraId="2D7F067E"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Malay</w:t>
            </w:r>
          </w:p>
        </w:tc>
        <w:tc>
          <w:tcPr>
            <w:tcW w:w="2645" w:type="dxa"/>
            <w:shd w:val="clear" w:color="auto" w:fill="auto"/>
            <w:noWrap/>
            <w:hideMark/>
          </w:tcPr>
          <w:p w14:paraId="7D28D9A6"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112</w:t>
            </w:r>
          </w:p>
        </w:tc>
        <w:tc>
          <w:tcPr>
            <w:tcW w:w="2326" w:type="dxa"/>
            <w:shd w:val="clear" w:color="auto" w:fill="auto"/>
            <w:noWrap/>
            <w:hideMark/>
          </w:tcPr>
          <w:p w14:paraId="2332B941"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86.2</w:t>
            </w:r>
          </w:p>
        </w:tc>
      </w:tr>
      <w:tr w:rsidR="00195CEE" w:rsidRPr="00985BDC" w14:paraId="3B8F5F0C" w14:textId="77777777" w:rsidTr="00195CEE">
        <w:trPr>
          <w:trHeight w:hRule="exact" w:val="216"/>
          <w:jc w:val="center"/>
        </w:trPr>
        <w:tc>
          <w:tcPr>
            <w:tcW w:w="3219" w:type="dxa"/>
            <w:shd w:val="clear" w:color="auto" w:fill="auto"/>
            <w:hideMark/>
          </w:tcPr>
          <w:p w14:paraId="68679859"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Chinese</w:t>
            </w:r>
          </w:p>
        </w:tc>
        <w:tc>
          <w:tcPr>
            <w:tcW w:w="2645" w:type="dxa"/>
            <w:shd w:val="clear" w:color="auto" w:fill="auto"/>
            <w:noWrap/>
            <w:hideMark/>
          </w:tcPr>
          <w:p w14:paraId="694C6B2A"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9</w:t>
            </w:r>
          </w:p>
        </w:tc>
        <w:tc>
          <w:tcPr>
            <w:tcW w:w="2326" w:type="dxa"/>
            <w:shd w:val="clear" w:color="auto" w:fill="auto"/>
            <w:noWrap/>
            <w:hideMark/>
          </w:tcPr>
          <w:p w14:paraId="33B82C7C"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6.9</w:t>
            </w:r>
          </w:p>
        </w:tc>
      </w:tr>
      <w:tr w:rsidR="00195CEE" w:rsidRPr="00985BDC" w14:paraId="7306FAB8" w14:textId="77777777" w:rsidTr="00195CEE">
        <w:trPr>
          <w:trHeight w:hRule="exact" w:val="216"/>
          <w:jc w:val="center"/>
        </w:trPr>
        <w:tc>
          <w:tcPr>
            <w:tcW w:w="3219" w:type="dxa"/>
            <w:tcBorders>
              <w:bottom w:val="nil"/>
            </w:tcBorders>
            <w:shd w:val="clear" w:color="auto" w:fill="auto"/>
            <w:hideMark/>
          </w:tcPr>
          <w:p w14:paraId="063E2C93"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India</w:t>
            </w:r>
          </w:p>
        </w:tc>
        <w:tc>
          <w:tcPr>
            <w:tcW w:w="2645" w:type="dxa"/>
            <w:tcBorders>
              <w:bottom w:val="nil"/>
            </w:tcBorders>
            <w:shd w:val="clear" w:color="auto" w:fill="auto"/>
            <w:noWrap/>
            <w:hideMark/>
          </w:tcPr>
          <w:p w14:paraId="1A40B562"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2</w:t>
            </w:r>
          </w:p>
        </w:tc>
        <w:tc>
          <w:tcPr>
            <w:tcW w:w="2326" w:type="dxa"/>
            <w:tcBorders>
              <w:bottom w:val="nil"/>
            </w:tcBorders>
            <w:shd w:val="clear" w:color="auto" w:fill="auto"/>
            <w:noWrap/>
            <w:hideMark/>
          </w:tcPr>
          <w:p w14:paraId="3F7B29FF"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1.5</w:t>
            </w:r>
          </w:p>
        </w:tc>
      </w:tr>
      <w:tr w:rsidR="00195CEE" w:rsidRPr="00985BDC" w14:paraId="02049114" w14:textId="77777777" w:rsidTr="00195CEE">
        <w:trPr>
          <w:trHeight w:hRule="exact" w:val="216"/>
          <w:jc w:val="center"/>
        </w:trPr>
        <w:tc>
          <w:tcPr>
            <w:tcW w:w="3219" w:type="dxa"/>
            <w:tcBorders>
              <w:top w:val="nil"/>
              <w:bottom w:val="single" w:sz="4" w:space="0" w:color="auto"/>
            </w:tcBorders>
            <w:shd w:val="clear" w:color="auto" w:fill="auto"/>
            <w:hideMark/>
          </w:tcPr>
          <w:p w14:paraId="6DCD51F0"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Others</w:t>
            </w:r>
          </w:p>
        </w:tc>
        <w:tc>
          <w:tcPr>
            <w:tcW w:w="2645" w:type="dxa"/>
            <w:tcBorders>
              <w:top w:val="nil"/>
              <w:bottom w:val="single" w:sz="4" w:space="0" w:color="auto"/>
            </w:tcBorders>
            <w:shd w:val="clear" w:color="auto" w:fill="auto"/>
            <w:noWrap/>
            <w:hideMark/>
          </w:tcPr>
          <w:p w14:paraId="78CD5002"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7</w:t>
            </w:r>
          </w:p>
        </w:tc>
        <w:tc>
          <w:tcPr>
            <w:tcW w:w="2326" w:type="dxa"/>
            <w:tcBorders>
              <w:top w:val="nil"/>
              <w:bottom w:val="single" w:sz="4" w:space="0" w:color="auto"/>
            </w:tcBorders>
            <w:shd w:val="clear" w:color="auto" w:fill="auto"/>
            <w:noWrap/>
            <w:hideMark/>
          </w:tcPr>
          <w:p w14:paraId="77834540"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5.4</w:t>
            </w:r>
          </w:p>
        </w:tc>
      </w:tr>
      <w:tr w:rsidR="00195CEE" w:rsidRPr="00985BDC" w14:paraId="412072C3" w14:textId="77777777" w:rsidTr="00195CEE">
        <w:trPr>
          <w:trHeight w:hRule="exact" w:val="216"/>
          <w:jc w:val="center"/>
        </w:trPr>
        <w:tc>
          <w:tcPr>
            <w:tcW w:w="3219" w:type="dxa"/>
            <w:tcBorders>
              <w:top w:val="single" w:sz="4" w:space="0" w:color="auto"/>
            </w:tcBorders>
            <w:shd w:val="clear" w:color="auto" w:fill="auto"/>
            <w:noWrap/>
            <w:vAlign w:val="bottom"/>
            <w:hideMark/>
          </w:tcPr>
          <w:p w14:paraId="043E643E" w14:textId="77777777" w:rsidR="00195CEE" w:rsidRPr="00301234" w:rsidRDefault="00195CEE" w:rsidP="004064A1">
            <w:pPr>
              <w:spacing w:after="0" w:line="240" w:lineRule="auto"/>
              <w:jc w:val="both"/>
              <w:rPr>
                <w:rFonts w:ascii="Times New Roman" w:eastAsia="Times New Roman" w:hAnsi="Times New Roman" w:cs="Times New Roman"/>
                <w:b/>
                <w:color w:val="000000"/>
                <w:sz w:val="20"/>
                <w:szCs w:val="20"/>
                <w:lang w:eastAsia="en-MY"/>
              </w:rPr>
            </w:pPr>
            <w:r w:rsidRPr="00301234">
              <w:rPr>
                <w:rFonts w:ascii="Times New Roman" w:eastAsia="Times New Roman" w:hAnsi="Times New Roman" w:cs="Times New Roman"/>
                <w:b/>
                <w:color w:val="000000"/>
                <w:sz w:val="20"/>
                <w:szCs w:val="20"/>
                <w:lang w:eastAsia="en-MY"/>
              </w:rPr>
              <w:t>Income</w:t>
            </w:r>
          </w:p>
        </w:tc>
        <w:tc>
          <w:tcPr>
            <w:tcW w:w="2645" w:type="dxa"/>
            <w:tcBorders>
              <w:top w:val="single" w:sz="4" w:space="0" w:color="auto"/>
            </w:tcBorders>
            <w:shd w:val="clear" w:color="auto" w:fill="auto"/>
            <w:noWrap/>
            <w:vAlign w:val="bottom"/>
            <w:hideMark/>
          </w:tcPr>
          <w:p w14:paraId="689845F0" w14:textId="1CCAD555"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tc>
        <w:tc>
          <w:tcPr>
            <w:tcW w:w="2326" w:type="dxa"/>
            <w:tcBorders>
              <w:top w:val="single" w:sz="4" w:space="0" w:color="auto"/>
            </w:tcBorders>
            <w:shd w:val="clear" w:color="auto" w:fill="auto"/>
            <w:noWrap/>
            <w:vAlign w:val="bottom"/>
            <w:hideMark/>
          </w:tcPr>
          <w:p w14:paraId="34BFE77D" w14:textId="2C66E2D1"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tc>
      </w:tr>
      <w:tr w:rsidR="00195CEE" w:rsidRPr="00985BDC" w14:paraId="5E5F5487" w14:textId="77777777" w:rsidTr="00195CEE">
        <w:trPr>
          <w:trHeight w:hRule="exact" w:val="216"/>
          <w:jc w:val="center"/>
        </w:trPr>
        <w:tc>
          <w:tcPr>
            <w:tcW w:w="3219" w:type="dxa"/>
            <w:shd w:val="clear" w:color="auto" w:fill="auto"/>
            <w:hideMark/>
          </w:tcPr>
          <w:p w14:paraId="14DF8034"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Less than RM1,500</w:t>
            </w:r>
          </w:p>
        </w:tc>
        <w:tc>
          <w:tcPr>
            <w:tcW w:w="2645" w:type="dxa"/>
            <w:shd w:val="clear" w:color="auto" w:fill="auto"/>
            <w:noWrap/>
            <w:hideMark/>
          </w:tcPr>
          <w:p w14:paraId="5D460ACE"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100</w:t>
            </w:r>
          </w:p>
        </w:tc>
        <w:tc>
          <w:tcPr>
            <w:tcW w:w="2326" w:type="dxa"/>
            <w:shd w:val="clear" w:color="auto" w:fill="auto"/>
            <w:noWrap/>
            <w:hideMark/>
          </w:tcPr>
          <w:p w14:paraId="6319585A"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76.9</w:t>
            </w:r>
          </w:p>
        </w:tc>
      </w:tr>
      <w:tr w:rsidR="00195CEE" w:rsidRPr="00985BDC" w14:paraId="049FD912" w14:textId="77777777" w:rsidTr="00195CEE">
        <w:trPr>
          <w:trHeight w:hRule="exact" w:val="216"/>
          <w:jc w:val="center"/>
        </w:trPr>
        <w:tc>
          <w:tcPr>
            <w:tcW w:w="3219" w:type="dxa"/>
            <w:shd w:val="clear" w:color="auto" w:fill="auto"/>
            <w:hideMark/>
          </w:tcPr>
          <w:p w14:paraId="0A3AA519"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RM1,500-RM3,000</w:t>
            </w:r>
          </w:p>
        </w:tc>
        <w:tc>
          <w:tcPr>
            <w:tcW w:w="2645" w:type="dxa"/>
            <w:shd w:val="clear" w:color="auto" w:fill="auto"/>
            <w:noWrap/>
            <w:hideMark/>
          </w:tcPr>
          <w:p w14:paraId="06DC72B2"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10</w:t>
            </w:r>
          </w:p>
        </w:tc>
        <w:tc>
          <w:tcPr>
            <w:tcW w:w="2326" w:type="dxa"/>
            <w:shd w:val="clear" w:color="auto" w:fill="auto"/>
            <w:noWrap/>
            <w:hideMark/>
          </w:tcPr>
          <w:p w14:paraId="5228DC7F"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7.7</w:t>
            </w:r>
          </w:p>
        </w:tc>
      </w:tr>
      <w:tr w:rsidR="00195CEE" w:rsidRPr="00985BDC" w14:paraId="33E79069" w14:textId="77777777" w:rsidTr="00195CEE">
        <w:trPr>
          <w:trHeight w:hRule="exact" w:val="216"/>
          <w:jc w:val="center"/>
        </w:trPr>
        <w:tc>
          <w:tcPr>
            <w:tcW w:w="3219" w:type="dxa"/>
            <w:tcBorders>
              <w:bottom w:val="nil"/>
            </w:tcBorders>
            <w:shd w:val="clear" w:color="auto" w:fill="auto"/>
            <w:hideMark/>
          </w:tcPr>
          <w:p w14:paraId="03572E5B"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RM3,001-RM5,000</w:t>
            </w:r>
          </w:p>
        </w:tc>
        <w:tc>
          <w:tcPr>
            <w:tcW w:w="2645" w:type="dxa"/>
            <w:tcBorders>
              <w:bottom w:val="nil"/>
            </w:tcBorders>
            <w:shd w:val="clear" w:color="auto" w:fill="auto"/>
            <w:noWrap/>
            <w:hideMark/>
          </w:tcPr>
          <w:p w14:paraId="429A0FFB"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10</w:t>
            </w:r>
          </w:p>
        </w:tc>
        <w:tc>
          <w:tcPr>
            <w:tcW w:w="2326" w:type="dxa"/>
            <w:tcBorders>
              <w:bottom w:val="nil"/>
            </w:tcBorders>
            <w:shd w:val="clear" w:color="auto" w:fill="auto"/>
            <w:noWrap/>
            <w:hideMark/>
          </w:tcPr>
          <w:p w14:paraId="2B63EF7E"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7.7</w:t>
            </w:r>
          </w:p>
        </w:tc>
      </w:tr>
      <w:tr w:rsidR="00195CEE" w:rsidRPr="00985BDC" w14:paraId="23F518BB" w14:textId="77777777" w:rsidTr="00195CEE">
        <w:trPr>
          <w:trHeight w:hRule="exact" w:val="216"/>
          <w:jc w:val="center"/>
        </w:trPr>
        <w:tc>
          <w:tcPr>
            <w:tcW w:w="3219" w:type="dxa"/>
            <w:tcBorders>
              <w:top w:val="nil"/>
              <w:bottom w:val="single" w:sz="4" w:space="0" w:color="auto"/>
            </w:tcBorders>
            <w:shd w:val="clear" w:color="auto" w:fill="auto"/>
            <w:hideMark/>
          </w:tcPr>
          <w:p w14:paraId="559BEB9A"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Above RM5,000</w:t>
            </w:r>
          </w:p>
        </w:tc>
        <w:tc>
          <w:tcPr>
            <w:tcW w:w="2645" w:type="dxa"/>
            <w:tcBorders>
              <w:top w:val="nil"/>
              <w:bottom w:val="single" w:sz="4" w:space="0" w:color="auto"/>
            </w:tcBorders>
            <w:shd w:val="clear" w:color="auto" w:fill="auto"/>
            <w:noWrap/>
            <w:hideMark/>
          </w:tcPr>
          <w:p w14:paraId="59AA5C85"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10</w:t>
            </w:r>
          </w:p>
        </w:tc>
        <w:tc>
          <w:tcPr>
            <w:tcW w:w="2326" w:type="dxa"/>
            <w:tcBorders>
              <w:top w:val="nil"/>
              <w:bottom w:val="single" w:sz="4" w:space="0" w:color="auto"/>
            </w:tcBorders>
            <w:shd w:val="clear" w:color="auto" w:fill="auto"/>
            <w:noWrap/>
            <w:hideMark/>
          </w:tcPr>
          <w:p w14:paraId="77AC3188"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7.7</w:t>
            </w:r>
          </w:p>
        </w:tc>
      </w:tr>
      <w:tr w:rsidR="00195CEE" w:rsidRPr="00985BDC" w14:paraId="5696C883" w14:textId="77777777" w:rsidTr="00195CEE">
        <w:trPr>
          <w:trHeight w:hRule="exact" w:val="216"/>
          <w:jc w:val="center"/>
        </w:trPr>
        <w:tc>
          <w:tcPr>
            <w:tcW w:w="3219" w:type="dxa"/>
            <w:tcBorders>
              <w:top w:val="single" w:sz="4" w:space="0" w:color="auto"/>
            </w:tcBorders>
            <w:shd w:val="clear" w:color="auto" w:fill="auto"/>
            <w:noWrap/>
            <w:vAlign w:val="bottom"/>
            <w:hideMark/>
          </w:tcPr>
          <w:p w14:paraId="0CC28E2F" w14:textId="77777777" w:rsidR="00195CEE" w:rsidRPr="00301234" w:rsidRDefault="00195CEE" w:rsidP="004064A1">
            <w:pPr>
              <w:spacing w:after="0" w:line="240" w:lineRule="auto"/>
              <w:jc w:val="both"/>
              <w:rPr>
                <w:rFonts w:ascii="Times New Roman" w:eastAsia="Times New Roman" w:hAnsi="Times New Roman" w:cs="Times New Roman"/>
                <w:b/>
                <w:color w:val="000000"/>
                <w:sz w:val="20"/>
                <w:szCs w:val="20"/>
                <w:lang w:eastAsia="en-MY"/>
              </w:rPr>
            </w:pPr>
            <w:r w:rsidRPr="00301234">
              <w:rPr>
                <w:rFonts w:ascii="Times New Roman" w:eastAsia="Times New Roman" w:hAnsi="Times New Roman" w:cs="Times New Roman"/>
                <w:b/>
                <w:color w:val="000000"/>
                <w:sz w:val="20"/>
                <w:szCs w:val="20"/>
                <w:lang w:eastAsia="en-MY"/>
              </w:rPr>
              <w:t>Education</w:t>
            </w:r>
          </w:p>
        </w:tc>
        <w:tc>
          <w:tcPr>
            <w:tcW w:w="2645" w:type="dxa"/>
            <w:tcBorders>
              <w:top w:val="single" w:sz="4" w:space="0" w:color="auto"/>
            </w:tcBorders>
            <w:shd w:val="clear" w:color="auto" w:fill="auto"/>
            <w:noWrap/>
            <w:vAlign w:val="bottom"/>
            <w:hideMark/>
          </w:tcPr>
          <w:p w14:paraId="1ED56928" w14:textId="0218239A"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tc>
        <w:tc>
          <w:tcPr>
            <w:tcW w:w="2326" w:type="dxa"/>
            <w:tcBorders>
              <w:top w:val="single" w:sz="4" w:space="0" w:color="auto"/>
            </w:tcBorders>
            <w:shd w:val="clear" w:color="auto" w:fill="auto"/>
            <w:noWrap/>
            <w:vAlign w:val="bottom"/>
            <w:hideMark/>
          </w:tcPr>
          <w:p w14:paraId="7C2FF354" w14:textId="731A7CD8"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tc>
      </w:tr>
      <w:tr w:rsidR="00195CEE" w:rsidRPr="00985BDC" w14:paraId="03EC043C" w14:textId="77777777" w:rsidTr="00195CEE">
        <w:trPr>
          <w:trHeight w:hRule="exact" w:val="216"/>
          <w:jc w:val="center"/>
        </w:trPr>
        <w:tc>
          <w:tcPr>
            <w:tcW w:w="3219" w:type="dxa"/>
            <w:shd w:val="clear" w:color="auto" w:fill="auto"/>
            <w:hideMark/>
          </w:tcPr>
          <w:p w14:paraId="7197321D"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Post Graduate Qualification</w:t>
            </w:r>
          </w:p>
        </w:tc>
        <w:tc>
          <w:tcPr>
            <w:tcW w:w="2645" w:type="dxa"/>
            <w:shd w:val="clear" w:color="auto" w:fill="auto"/>
            <w:noWrap/>
            <w:hideMark/>
          </w:tcPr>
          <w:p w14:paraId="506A6B49"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12</w:t>
            </w:r>
          </w:p>
        </w:tc>
        <w:tc>
          <w:tcPr>
            <w:tcW w:w="2326" w:type="dxa"/>
            <w:shd w:val="clear" w:color="auto" w:fill="auto"/>
            <w:noWrap/>
            <w:hideMark/>
          </w:tcPr>
          <w:p w14:paraId="1DA2A6F7"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9.2</w:t>
            </w:r>
          </w:p>
        </w:tc>
      </w:tr>
      <w:tr w:rsidR="00195CEE" w:rsidRPr="00985BDC" w14:paraId="2D11F23F" w14:textId="77777777" w:rsidTr="00195CEE">
        <w:trPr>
          <w:trHeight w:hRule="exact" w:val="216"/>
          <w:jc w:val="center"/>
        </w:trPr>
        <w:tc>
          <w:tcPr>
            <w:tcW w:w="3219" w:type="dxa"/>
            <w:shd w:val="clear" w:color="auto" w:fill="auto"/>
            <w:hideMark/>
          </w:tcPr>
          <w:p w14:paraId="106B359C"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Professional Degree</w:t>
            </w:r>
          </w:p>
        </w:tc>
        <w:tc>
          <w:tcPr>
            <w:tcW w:w="2645" w:type="dxa"/>
            <w:shd w:val="clear" w:color="auto" w:fill="auto"/>
            <w:noWrap/>
            <w:hideMark/>
          </w:tcPr>
          <w:p w14:paraId="7BF463E8"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8</w:t>
            </w:r>
          </w:p>
        </w:tc>
        <w:tc>
          <w:tcPr>
            <w:tcW w:w="2326" w:type="dxa"/>
            <w:shd w:val="clear" w:color="auto" w:fill="auto"/>
            <w:noWrap/>
            <w:hideMark/>
          </w:tcPr>
          <w:p w14:paraId="69A9AAFF"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6.2</w:t>
            </w:r>
          </w:p>
        </w:tc>
      </w:tr>
      <w:tr w:rsidR="00195CEE" w:rsidRPr="00985BDC" w14:paraId="0E34EEC2" w14:textId="77777777" w:rsidTr="00195CEE">
        <w:trPr>
          <w:trHeight w:hRule="exact" w:val="216"/>
          <w:jc w:val="center"/>
        </w:trPr>
        <w:tc>
          <w:tcPr>
            <w:tcW w:w="3219" w:type="dxa"/>
            <w:shd w:val="clear" w:color="auto" w:fill="auto"/>
            <w:hideMark/>
          </w:tcPr>
          <w:p w14:paraId="24872D29"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Bachelor Degree</w:t>
            </w:r>
          </w:p>
        </w:tc>
        <w:tc>
          <w:tcPr>
            <w:tcW w:w="2645" w:type="dxa"/>
            <w:shd w:val="clear" w:color="auto" w:fill="auto"/>
            <w:noWrap/>
            <w:hideMark/>
          </w:tcPr>
          <w:p w14:paraId="70DC424D"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82</w:t>
            </w:r>
          </w:p>
        </w:tc>
        <w:tc>
          <w:tcPr>
            <w:tcW w:w="2326" w:type="dxa"/>
            <w:shd w:val="clear" w:color="auto" w:fill="auto"/>
            <w:noWrap/>
            <w:hideMark/>
          </w:tcPr>
          <w:p w14:paraId="4CE87DF5"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63.1</w:t>
            </w:r>
          </w:p>
        </w:tc>
      </w:tr>
      <w:tr w:rsidR="00195CEE" w:rsidRPr="00985BDC" w14:paraId="1C1DAD6F" w14:textId="77777777" w:rsidTr="00195CEE">
        <w:trPr>
          <w:trHeight w:hRule="exact" w:val="216"/>
          <w:jc w:val="center"/>
        </w:trPr>
        <w:tc>
          <w:tcPr>
            <w:tcW w:w="3219" w:type="dxa"/>
            <w:shd w:val="clear" w:color="auto" w:fill="auto"/>
            <w:hideMark/>
          </w:tcPr>
          <w:p w14:paraId="1FB83848"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Trade Qualification/Diploma</w:t>
            </w:r>
          </w:p>
        </w:tc>
        <w:tc>
          <w:tcPr>
            <w:tcW w:w="2645" w:type="dxa"/>
            <w:shd w:val="clear" w:color="auto" w:fill="auto"/>
            <w:noWrap/>
            <w:hideMark/>
          </w:tcPr>
          <w:p w14:paraId="7953F7A5"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17</w:t>
            </w:r>
          </w:p>
        </w:tc>
        <w:tc>
          <w:tcPr>
            <w:tcW w:w="2326" w:type="dxa"/>
            <w:shd w:val="clear" w:color="auto" w:fill="auto"/>
            <w:noWrap/>
            <w:hideMark/>
          </w:tcPr>
          <w:p w14:paraId="25507ED0"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13.1</w:t>
            </w:r>
          </w:p>
        </w:tc>
      </w:tr>
      <w:tr w:rsidR="00195CEE" w:rsidRPr="00985BDC" w14:paraId="7E8D4B30" w14:textId="77777777" w:rsidTr="00195CEE">
        <w:trPr>
          <w:trHeight w:hRule="exact" w:val="216"/>
          <w:jc w:val="center"/>
        </w:trPr>
        <w:tc>
          <w:tcPr>
            <w:tcW w:w="3219" w:type="dxa"/>
            <w:shd w:val="clear" w:color="auto" w:fill="auto"/>
            <w:hideMark/>
          </w:tcPr>
          <w:p w14:paraId="399333D2"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High School</w:t>
            </w:r>
          </w:p>
        </w:tc>
        <w:tc>
          <w:tcPr>
            <w:tcW w:w="2645" w:type="dxa"/>
            <w:shd w:val="clear" w:color="auto" w:fill="auto"/>
            <w:noWrap/>
            <w:hideMark/>
          </w:tcPr>
          <w:p w14:paraId="5F37D77A"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9</w:t>
            </w:r>
          </w:p>
        </w:tc>
        <w:tc>
          <w:tcPr>
            <w:tcW w:w="2326" w:type="dxa"/>
            <w:shd w:val="clear" w:color="auto" w:fill="auto"/>
            <w:noWrap/>
            <w:hideMark/>
          </w:tcPr>
          <w:p w14:paraId="7C525B80"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6.9</w:t>
            </w:r>
          </w:p>
        </w:tc>
      </w:tr>
      <w:tr w:rsidR="00195CEE" w:rsidRPr="00985BDC" w14:paraId="50A1432A" w14:textId="77777777" w:rsidTr="00195CEE">
        <w:trPr>
          <w:trHeight w:hRule="exact" w:val="216"/>
          <w:jc w:val="center"/>
        </w:trPr>
        <w:tc>
          <w:tcPr>
            <w:tcW w:w="3219" w:type="dxa"/>
            <w:shd w:val="clear" w:color="auto" w:fill="auto"/>
            <w:hideMark/>
          </w:tcPr>
          <w:p w14:paraId="0D8A5CDD"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Others</w:t>
            </w:r>
          </w:p>
        </w:tc>
        <w:tc>
          <w:tcPr>
            <w:tcW w:w="2645" w:type="dxa"/>
            <w:shd w:val="clear" w:color="auto" w:fill="auto"/>
            <w:noWrap/>
            <w:hideMark/>
          </w:tcPr>
          <w:p w14:paraId="10193778"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2</w:t>
            </w:r>
          </w:p>
        </w:tc>
        <w:tc>
          <w:tcPr>
            <w:tcW w:w="2326" w:type="dxa"/>
            <w:shd w:val="clear" w:color="auto" w:fill="auto"/>
            <w:noWrap/>
            <w:hideMark/>
          </w:tcPr>
          <w:p w14:paraId="3271BE60"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1.5</w:t>
            </w:r>
          </w:p>
        </w:tc>
      </w:tr>
      <w:tr w:rsidR="00195CEE" w:rsidRPr="00985BDC" w14:paraId="57F87350" w14:textId="77777777" w:rsidTr="00195CEE">
        <w:trPr>
          <w:trHeight w:hRule="exact" w:val="216"/>
          <w:jc w:val="center"/>
        </w:trPr>
        <w:tc>
          <w:tcPr>
            <w:tcW w:w="3219" w:type="dxa"/>
            <w:shd w:val="clear" w:color="auto" w:fill="auto"/>
            <w:noWrap/>
            <w:vAlign w:val="bottom"/>
            <w:hideMark/>
          </w:tcPr>
          <w:p w14:paraId="559A7760" w14:textId="77777777" w:rsidR="00195CEE" w:rsidRPr="00301234" w:rsidRDefault="00195CEE" w:rsidP="004064A1">
            <w:pPr>
              <w:spacing w:after="0" w:line="240" w:lineRule="auto"/>
              <w:jc w:val="both"/>
              <w:rPr>
                <w:rFonts w:ascii="Times New Roman" w:eastAsia="Times New Roman" w:hAnsi="Times New Roman" w:cs="Times New Roman"/>
                <w:b/>
                <w:color w:val="000000"/>
                <w:sz w:val="20"/>
                <w:szCs w:val="20"/>
                <w:lang w:eastAsia="en-MY"/>
              </w:rPr>
            </w:pPr>
            <w:r w:rsidRPr="00301234">
              <w:rPr>
                <w:rFonts w:ascii="Times New Roman" w:eastAsia="Times New Roman" w:hAnsi="Times New Roman" w:cs="Times New Roman"/>
                <w:b/>
                <w:color w:val="000000"/>
                <w:sz w:val="20"/>
                <w:szCs w:val="20"/>
                <w:lang w:eastAsia="en-MY"/>
              </w:rPr>
              <w:t>Occupation</w:t>
            </w:r>
          </w:p>
        </w:tc>
        <w:tc>
          <w:tcPr>
            <w:tcW w:w="2645" w:type="dxa"/>
            <w:shd w:val="clear" w:color="auto" w:fill="auto"/>
            <w:noWrap/>
            <w:vAlign w:val="bottom"/>
            <w:hideMark/>
          </w:tcPr>
          <w:p w14:paraId="21E284E7" w14:textId="5A3469A0"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tc>
        <w:tc>
          <w:tcPr>
            <w:tcW w:w="2326" w:type="dxa"/>
            <w:shd w:val="clear" w:color="auto" w:fill="auto"/>
            <w:noWrap/>
            <w:vAlign w:val="bottom"/>
            <w:hideMark/>
          </w:tcPr>
          <w:p w14:paraId="0A116265" w14:textId="27C4F2F9"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tc>
      </w:tr>
      <w:tr w:rsidR="00195CEE" w:rsidRPr="00985BDC" w14:paraId="208F6440" w14:textId="77777777" w:rsidTr="00195CEE">
        <w:trPr>
          <w:trHeight w:hRule="exact" w:val="216"/>
          <w:jc w:val="center"/>
        </w:trPr>
        <w:tc>
          <w:tcPr>
            <w:tcW w:w="3219" w:type="dxa"/>
            <w:shd w:val="clear" w:color="auto" w:fill="auto"/>
            <w:hideMark/>
          </w:tcPr>
          <w:p w14:paraId="716CADDC"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Government</w:t>
            </w:r>
          </w:p>
        </w:tc>
        <w:tc>
          <w:tcPr>
            <w:tcW w:w="2645" w:type="dxa"/>
            <w:shd w:val="clear" w:color="auto" w:fill="auto"/>
            <w:noWrap/>
            <w:hideMark/>
          </w:tcPr>
          <w:p w14:paraId="7156BD0A"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9</w:t>
            </w:r>
          </w:p>
        </w:tc>
        <w:tc>
          <w:tcPr>
            <w:tcW w:w="2326" w:type="dxa"/>
            <w:shd w:val="clear" w:color="auto" w:fill="auto"/>
            <w:noWrap/>
            <w:hideMark/>
          </w:tcPr>
          <w:p w14:paraId="279F2D08"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6.9</w:t>
            </w:r>
          </w:p>
        </w:tc>
      </w:tr>
      <w:tr w:rsidR="00195CEE" w:rsidRPr="00985BDC" w14:paraId="62256540" w14:textId="77777777" w:rsidTr="00195CEE">
        <w:trPr>
          <w:trHeight w:hRule="exact" w:val="216"/>
          <w:jc w:val="center"/>
        </w:trPr>
        <w:tc>
          <w:tcPr>
            <w:tcW w:w="3219" w:type="dxa"/>
            <w:shd w:val="clear" w:color="auto" w:fill="auto"/>
            <w:hideMark/>
          </w:tcPr>
          <w:p w14:paraId="3805A4A5"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Home duties</w:t>
            </w:r>
          </w:p>
        </w:tc>
        <w:tc>
          <w:tcPr>
            <w:tcW w:w="2645" w:type="dxa"/>
            <w:shd w:val="clear" w:color="auto" w:fill="auto"/>
            <w:noWrap/>
            <w:hideMark/>
          </w:tcPr>
          <w:p w14:paraId="4B8A2D06"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w:t>
            </w:r>
          </w:p>
        </w:tc>
        <w:tc>
          <w:tcPr>
            <w:tcW w:w="2326" w:type="dxa"/>
            <w:shd w:val="clear" w:color="auto" w:fill="auto"/>
            <w:noWrap/>
            <w:hideMark/>
          </w:tcPr>
          <w:p w14:paraId="0EEE2C47"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.8</w:t>
            </w:r>
          </w:p>
        </w:tc>
      </w:tr>
      <w:tr w:rsidR="00195CEE" w:rsidRPr="00985BDC" w14:paraId="7F37F596" w14:textId="77777777" w:rsidTr="00195CEE">
        <w:trPr>
          <w:trHeight w:hRule="exact" w:val="216"/>
          <w:jc w:val="center"/>
        </w:trPr>
        <w:tc>
          <w:tcPr>
            <w:tcW w:w="3219" w:type="dxa"/>
            <w:shd w:val="clear" w:color="auto" w:fill="auto"/>
            <w:hideMark/>
          </w:tcPr>
          <w:p w14:paraId="4FAA30B3"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Office worker</w:t>
            </w:r>
          </w:p>
        </w:tc>
        <w:tc>
          <w:tcPr>
            <w:tcW w:w="2645" w:type="dxa"/>
            <w:shd w:val="clear" w:color="auto" w:fill="auto"/>
            <w:noWrap/>
            <w:hideMark/>
          </w:tcPr>
          <w:p w14:paraId="4F1B24CF"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6</w:t>
            </w:r>
          </w:p>
        </w:tc>
        <w:tc>
          <w:tcPr>
            <w:tcW w:w="2326" w:type="dxa"/>
            <w:shd w:val="clear" w:color="auto" w:fill="auto"/>
            <w:noWrap/>
            <w:hideMark/>
          </w:tcPr>
          <w:p w14:paraId="5F5FF49C"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4.6</w:t>
            </w:r>
          </w:p>
        </w:tc>
      </w:tr>
      <w:tr w:rsidR="00195CEE" w:rsidRPr="00985BDC" w14:paraId="27679E15" w14:textId="77777777" w:rsidTr="00195CEE">
        <w:trPr>
          <w:trHeight w:hRule="exact" w:val="216"/>
          <w:jc w:val="center"/>
        </w:trPr>
        <w:tc>
          <w:tcPr>
            <w:tcW w:w="3219" w:type="dxa"/>
            <w:shd w:val="clear" w:color="auto" w:fill="auto"/>
            <w:hideMark/>
          </w:tcPr>
          <w:p w14:paraId="20D5716E"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Professional</w:t>
            </w:r>
          </w:p>
        </w:tc>
        <w:tc>
          <w:tcPr>
            <w:tcW w:w="2645" w:type="dxa"/>
            <w:shd w:val="clear" w:color="auto" w:fill="auto"/>
            <w:noWrap/>
            <w:hideMark/>
          </w:tcPr>
          <w:p w14:paraId="376D5F34"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13</w:t>
            </w:r>
          </w:p>
        </w:tc>
        <w:tc>
          <w:tcPr>
            <w:tcW w:w="2326" w:type="dxa"/>
            <w:shd w:val="clear" w:color="auto" w:fill="auto"/>
            <w:noWrap/>
            <w:hideMark/>
          </w:tcPr>
          <w:p w14:paraId="79EA2A59"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10.0</w:t>
            </w:r>
          </w:p>
        </w:tc>
      </w:tr>
      <w:tr w:rsidR="00195CEE" w:rsidRPr="00985BDC" w14:paraId="15B1870F" w14:textId="77777777" w:rsidTr="00195CEE">
        <w:trPr>
          <w:trHeight w:hRule="exact" w:val="216"/>
          <w:jc w:val="center"/>
        </w:trPr>
        <w:tc>
          <w:tcPr>
            <w:tcW w:w="3219" w:type="dxa"/>
            <w:shd w:val="clear" w:color="auto" w:fill="auto"/>
            <w:hideMark/>
          </w:tcPr>
          <w:p w14:paraId="4D2847F2"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Retired</w:t>
            </w:r>
          </w:p>
        </w:tc>
        <w:tc>
          <w:tcPr>
            <w:tcW w:w="2645" w:type="dxa"/>
            <w:shd w:val="clear" w:color="auto" w:fill="auto"/>
            <w:noWrap/>
            <w:hideMark/>
          </w:tcPr>
          <w:p w14:paraId="1D5CF139"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w:t>
            </w:r>
          </w:p>
        </w:tc>
        <w:tc>
          <w:tcPr>
            <w:tcW w:w="2326" w:type="dxa"/>
            <w:shd w:val="clear" w:color="auto" w:fill="auto"/>
            <w:noWrap/>
            <w:hideMark/>
          </w:tcPr>
          <w:p w14:paraId="119ED72D"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.8</w:t>
            </w:r>
          </w:p>
        </w:tc>
      </w:tr>
      <w:tr w:rsidR="00195CEE" w:rsidRPr="00985BDC" w14:paraId="137064A0" w14:textId="77777777" w:rsidTr="00195CEE">
        <w:trPr>
          <w:trHeight w:hRule="exact" w:val="216"/>
          <w:jc w:val="center"/>
        </w:trPr>
        <w:tc>
          <w:tcPr>
            <w:tcW w:w="3219" w:type="dxa"/>
            <w:shd w:val="clear" w:color="auto" w:fill="auto"/>
            <w:hideMark/>
          </w:tcPr>
          <w:p w14:paraId="5696F648"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Self-employed</w:t>
            </w:r>
          </w:p>
        </w:tc>
        <w:tc>
          <w:tcPr>
            <w:tcW w:w="2645" w:type="dxa"/>
            <w:shd w:val="clear" w:color="auto" w:fill="auto"/>
            <w:noWrap/>
            <w:hideMark/>
          </w:tcPr>
          <w:p w14:paraId="78730BF5"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3</w:t>
            </w:r>
          </w:p>
        </w:tc>
        <w:tc>
          <w:tcPr>
            <w:tcW w:w="2326" w:type="dxa"/>
            <w:shd w:val="clear" w:color="auto" w:fill="auto"/>
            <w:noWrap/>
            <w:hideMark/>
          </w:tcPr>
          <w:p w14:paraId="709EB41B"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2.3</w:t>
            </w:r>
          </w:p>
        </w:tc>
      </w:tr>
      <w:tr w:rsidR="00195CEE" w:rsidRPr="00985BDC" w14:paraId="19DD6644" w14:textId="77777777" w:rsidTr="00195CEE">
        <w:trPr>
          <w:trHeight w:hRule="exact" w:val="216"/>
          <w:jc w:val="center"/>
        </w:trPr>
        <w:tc>
          <w:tcPr>
            <w:tcW w:w="3219" w:type="dxa"/>
            <w:shd w:val="clear" w:color="auto" w:fill="auto"/>
            <w:hideMark/>
          </w:tcPr>
          <w:p w14:paraId="59D1087E"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Student (full time)</w:t>
            </w:r>
          </w:p>
        </w:tc>
        <w:tc>
          <w:tcPr>
            <w:tcW w:w="2645" w:type="dxa"/>
            <w:shd w:val="clear" w:color="auto" w:fill="auto"/>
            <w:noWrap/>
            <w:hideMark/>
          </w:tcPr>
          <w:p w14:paraId="433FB6B8"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92</w:t>
            </w:r>
          </w:p>
        </w:tc>
        <w:tc>
          <w:tcPr>
            <w:tcW w:w="2326" w:type="dxa"/>
            <w:shd w:val="clear" w:color="auto" w:fill="auto"/>
            <w:noWrap/>
            <w:hideMark/>
          </w:tcPr>
          <w:p w14:paraId="7E518EBA"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70.8</w:t>
            </w:r>
          </w:p>
        </w:tc>
      </w:tr>
      <w:tr w:rsidR="00195CEE" w:rsidRPr="00985BDC" w14:paraId="2835F9F7" w14:textId="77777777" w:rsidTr="00195CEE">
        <w:trPr>
          <w:trHeight w:hRule="exact" w:val="216"/>
          <w:jc w:val="center"/>
        </w:trPr>
        <w:tc>
          <w:tcPr>
            <w:tcW w:w="3219" w:type="dxa"/>
            <w:tcBorders>
              <w:bottom w:val="nil"/>
            </w:tcBorders>
            <w:shd w:val="clear" w:color="auto" w:fill="auto"/>
            <w:hideMark/>
          </w:tcPr>
          <w:p w14:paraId="5DA8F95F"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Tradesman/ Technician</w:t>
            </w:r>
          </w:p>
        </w:tc>
        <w:tc>
          <w:tcPr>
            <w:tcW w:w="2645" w:type="dxa"/>
            <w:tcBorders>
              <w:bottom w:val="nil"/>
            </w:tcBorders>
            <w:shd w:val="clear" w:color="auto" w:fill="auto"/>
            <w:noWrap/>
            <w:hideMark/>
          </w:tcPr>
          <w:p w14:paraId="367393F8"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w:t>
            </w:r>
          </w:p>
        </w:tc>
        <w:tc>
          <w:tcPr>
            <w:tcW w:w="2326" w:type="dxa"/>
            <w:tcBorders>
              <w:bottom w:val="nil"/>
            </w:tcBorders>
            <w:shd w:val="clear" w:color="auto" w:fill="auto"/>
            <w:noWrap/>
            <w:hideMark/>
          </w:tcPr>
          <w:p w14:paraId="0B005E80"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.8</w:t>
            </w:r>
          </w:p>
        </w:tc>
      </w:tr>
      <w:tr w:rsidR="00195CEE" w:rsidRPr="00985BDC" w14:paraId="466915CC" w14:textId="77777777" w:rsidTr="00195CEE">
        <w:trPr>
          <w:trHeight w:hRule="exact" w:val="216"/>
          <w:jc w:val="center"/>
        </w:trPr>
        <w:tc>
          <w:tcPr>
            <w:tcW w:w="3219" w:type="dxa"/>
            <w:tcBorders>
              <w:top w:val="nil"/>
              <w:bottom w:val="single" w:sz="4" w:space="0" w:color="auto"/>
            </w:tcBorders>
            <w:shd w:val="clear" w:color="auto" w:fill="auto"/>
            <w:hideMark/>
          </w:tcPr>
          <w:p w14:paraId="39C34BAD"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Other</w:t>
            </w:r>
          </w:p>
        </w:tc>
        <w:tc>
          <w:tcPr>
            <w:tcW w:w="2645" w:type="dxa"/>
            <w:tcBorders>
              <w:top w:val="nil"/>
              <w:bottom w:val="single" w:sz="4" w:space="0" w:color="auto"/>
            </w:tcBorders>
            <w:shd w:val="clear" w:color="auto" w:fill="auto"/>
            <w:noWrap/>
            <w:hideMark/>
          </w:tcPr>
          <w:p w14:paraId="143B089D"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4</w:t>
            </w:r>
          </w:p>
        </w:tc>
        <w:tc>
          <w:tcPr>
            <w:tcW w:w="2326" w:type="dxa"/>
            <w:tcBorders>
              <w:top w:val="nil"/>
              <w:bottom w:val="single" w:sz="4" w:space="0" w:color="auto"/>
            </w:tcBorders>
            <w:shd w:val="clear" w:color="auto" w:fill="auto"/>
            <w:noWrap/>
            <w:hideMark/>
          </w:tcPr>
          <w:p w14:paraId="37C61D91"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3.1</w:t>
            </w:r>
          </w:p>
        </w:tc>
      </w:tr>
      <w:tr w:rsidR="00195CEE" w:rsidRPr="00985BDC" w14:paraId="0ECEDC89" w14:textId="77777777" w:rsidTr="00195CEE">
        <w:trPr>
          <w:trHeight w:hRule="exact" w:val="216"/>
          <w:jc w:val="center"/>
        </w:trPr>
        <w:tc>
          <w:tcPr>
            <w:tcW w:w="3219" w:type="dxa"/>
            <w:tcBorders>
              <w:top w:val="single" w:sz="4" w:space="0" w:color="auto"/>
            </w:tcBorders>
            <w:shd w:val="clear" w:color="auto" w:fill="auto"/>
            <w:noWrap/>
            <w:vAlign w:val="bottom"/>
            <w:hideMark/>
          </w:tcPr>
          <w:p w14:paraId="48760FF2" w14:textId="77777777" w:rsidR="00195CEE" w:rsidRPr="00301234" w:rsidRDefault="00195CEE" w:rsidP="004064A1">
            <w:pPr>
              <w:spacing w:after="0" w:line="240" w:lineRule="auto"/>
              <w:jc w:val="both"/>
              <w:rPr>
                <w:rFonts w:ascii="Times New Roman" w:eastAsia="Times New Roman" w:hAnsi="Times New Roman" w:cs="Times New Roman"/>
                <w:b/>
                <w:color w:val="000000"/>
                <w:sz w:val="20"/>
                <w:szCs w:val="20"/>
                <w:lang w:eastAsia="en-MY"/>
              </w:rPr>
            </w:pPr>
            <w:r w:rsidRPr="00301234">
              <w:rPr>
                <w:rFonts w:ascii="Times New Roman" w:eastAsia="Times New Roman" w:hAnsi="Times New Roman" w:cs="Times New Roman"/>
                <w:b/>
                <w:color w:val="000000"/>
                <w:sz w:val="20"/>
                <w:szCs w:val="20"/>
                <w:lang w:eastAsia="en-MY"/>
              </w:rPr>
              <w:t>Account</w:t>
            </w:r>
          </w:p>
        </w:tc>
        <w:tc>
          <w:tcPr>
            <w:tcW w:w="2645" w:type="dxa"/>
            <w:tcBorders>
              <w:top w:val="single" w:sz="4" w:space="0" w:color="auto"/>
            </w:tcBorders>
            <w:shd w:val="clear" w:color="auto" w:fill="auto"/>
            <w:noWrap/>
            <w:vAlign w:val="bottom"/>
            <w:hideMark/>
          </w:tcPr>
          <w:p w14:paraId="744E92C6" w14:textId="49A9F7C0"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tc>
        <w:tc>
          <w:tcPr>
            <w:tcW w:w="2326" w:type="dxa"/>
            <w:tcBorders>
              <w:top w:val="single" w:sz="4" w:space="0" w:color="auto"/>
            </w:tcBorders>
            <w:shd w:val="clear" w:color="auto" w:fill="auto"/>
            <w:noWrap/>
            <w:vAlign w:val="bottom"/>
            <w:hideMark/>
          </w:tcPr>
          <w:p w14:paraId="0561AA4C" w14:textId="18924A8F"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tc>
      </w:tr>
      <w:tr w:rsidR="00195CEE" w:rsidRPr="00985BDC" w14:paraId="5F3216A2" w14:textId="77777777" w:rsidTr="00195CEE">
        <w:trPr>
          <w:trHeight w:hRule="exact" w:val="216"/>
          <w:jc w:val="center"/>
        </w:trPr>
        <w:tc>
          <w:tcPr>
            <w:tcW w:w="3219" w:type="dxa"/>
            <w:shd w:val="clear" w:color="auto" w:fill="auto"/>
            <w:hideMark/>
          </w:tcPr>
          <w:p w14:paraId="30EF2CB7"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Tabung Haji</w:t>
            </w:r>
          </w:p>
        </w:tc>
        <w:tc>
          <w:tcPr>
            <w:tcW w:w="2645" w:type="dxa"/>
            <w:shd w:val="clear" w:color="auto" w:fill="auto"/>
            <w:noWrap/>
            <w:hideMark/>
          </w:tcPr>
          <w:p w14:paraId="6293441E"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75</w:t>
            </w:r>
          </w:p>
        </w:tc>
        <w:tc>
          <w:tcPr>
            <w:tcW w:w="2326" w:type="dxa"/>
            <w:shd w:val="clear" w:color="auto" w:fill="auto"/>
            <w:noWrap/>
            <w:hideMark/>
          </w:tcPr>
          <w:p w14:paraId="46A9125B"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57.7</w:t>
            </w:r>
          </w:p>
        </w:tc>
      </w:tr>
      <w:tr w:rsidR="00195CEE" w:rsidRPr="00985BDC" w14:paraId="48A325F6" w14:textId="77777777" w:rsidTr="00195CEE">
        <w:trPr>
          <w:trHeight w:hRule="exact" w:val="216"/>
          <w:jc w:val="center"/>
        </w:trPr>
        <w:tc>
          <w:tcPr>
            <w:tcW w:w="3219" w:type="dxa"/>
            <w:shd w:val="clear" w:color="auto" w:fill="auto"/>
            <w:hideMark/>
          </w:tcPr>
          <w:p w14:paraId="1F9B1C12"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Asb</w:t>
            </w:r>
          </w:p>
        </w:tc>
        <w:tc>
          <w:tcPr>
            <w:tcW w:w="2645" w:type="dxa"/>
            <w:shd w:val="clear" w:color="auto" w:fill="auto"/>
            <w:noWrap/>
            <w:hideMark/>
          </w:tcPr>
          <w:p w14:paraId="1C90A280"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28</w:t>
            </w:r>
          </w:p>
        </w:tc>
        <w:tc>
          <w:tcPr>
            <w:tcW w:w="2326" w:type="dxa"/>
            <w:shd w:val="clear" w:color="auto" w:fill="auto"/>
            <w:noWrap/>
            <w:hideMark/>
          </w:tcPr>
          <w:p w14:paraId="73B6D8AC"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21.5</w:t>
            </w:r>
          </w:p>
        </w:tc>
      </w:tr>
      <w:tr w:rsidR="00195CEE" w:rsidRPr="00985BDC" w14:paraId="41C9FCE5" w14:textId="77777777" w:rsidTr="00195CEE">
        <w:trPr>
          <w:trHeight w:hRule="exact" w:val="216"/>
          <w:jc w:val="center"/>
        </w:trPr>
        <w:tc>
          <w:tcPr>
            <w:tcW w:w="3219" w:type="dxa"/>
            <w:tcBorders>
              <w:bottom w:val="nil"/>
            </w:tcBorders>
            <w:shd w:val="clear" w:color="auto" w:fill="auto"/>
            <w:hideMark/>
          </w:tcPr>
          <w:p w14:paraId="35F4225D"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Both</w:t>
            </w:r>
          </w:p>
        </w:tc>
        <w:tc>
          <w:tcPr>
            <w:tcW w:w="2645" w:type="dxa"/>
            <w:tcBorders>
              <w:bottom w:val="nil"/>
            </w:tcBorders>
            <w:shd w:val="clear" w:color="auto" w:fill="auto"/>
            <w:noWrap/>
            <w:hideMark/>
          </w:tcPr>
          <w:p w14:paraId="71D71503"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17</w:t>
            </w:r>
          </w:p>
        </w:tc>
        <w:tc>
          <w:tcPr>
            <w:tcW w:w="2326" w:type="dxa"/>
            <w:tcBorders>
              <w:bottom w:val="nil"/>
            </w:tcBorders>
            <w:shd w:val="clear" w:color="auto" w:fill="auto"/>
            <w:noWrap/>
            <w:hideMark/>
          </w:tcPr>
          <w:p w14:paraId="634DFC03"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13.1</w:t>
            </w:r>
          </w:p>
        </w:tc>
      </w:tr>
      <w:tr w:rsidR="00195CEE" w:rsidRPr="00985BDC" w14:paraId="5EBCDBFD" w14:textId="77777777" w:rsidTr="00195CEE">
        <w:trPr>
          <w:trHeight w:hRule="exact" w:val="216"/>
          <w:jc w:val="center"/>
        </w:trPr>
        <w:tc>
          <w:tcPr>
            <w:tcW w:w="3219" w:type="dxa"/>
            <w:tcBorders>
              <w:top w:val="nil"/>
              <w:bottom w:val="single" w:sz="4" w:space="0" w:color="auto"/>
            </w:tcBorders>
            <w:shd w:val="clear" w:color="auto" w:fill="auto"/>
            <w:hideMark/>
          </w:tcPr>
          <w:p w14:paraId="7CF7B60E"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Others</w:t>
            </w:r>
          </w:p>
        </w:tc>
        <w:tc>
          <w:tcPr>
            <w:tcW w:w="2645" w:type="dxa"/>
            <w:tcBorders>
              <w:top w:val="nil"/>
              <w:bottom w:val="single" w:sz="4" w:space="0" w:color="auto"/>
            </w:tcBorders>
            <w:shd w:val="clear" w:color="auto" w:fill="auto"/>
            <w:noWrap/>
            <w:hideMark/>
          </w:tcPr>
          <w:p w14:paraId="46102142"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10</w:t>
            </w:r>
          </w:p>
        </w:tc>
        <w:tc>
          <w:tcPr>
            <w:tcW w:w="2326" w:type="dxa"/>
            <w:tcBorders>
              <w:top w:val="nil"/>
              <w:bottom w:val="single" w:sz="4" w:space="0" w:color="auto"/>
            </w:tcBorders>
            <w:shd w:val="clear" w:color="auto" w:fill="auto"/>
            <w:noWrap/>
            <w:hideMark/>
          </w:tcPr>
          <w:p w14:paraId="73D8C9A6"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7.7</w:t>
            </w:r>
          </w:p>
        </w:tc>
      </w:tr>
      <w:tr w:rsidR="00195CEE" w:rsidRPr="00985BDC" w14:paraId="46AEAB60" w14:textId="77777777" w:rsidTr="00195CEE">
        <w:trPr>
          <w:trHeight w:hRule="exact" w:val="802"/>
          <w:jc w:val="center"/>
        </w:trPr>
        <w:tc>
          <w:tcPr>
            <w:tcW w:w="3219" w:type="dxa"/>
            <w:tcBorders>
              <w:top w:val="single" w:sz="4" w:space="0" w:color="auto"/>
            </w:tcBorders>
            <w:shd w:val="clear" w:color="auto" w:fill="auto"/>
          </w:tcPr>
          <w:p w14:paraId="0E506E53" w14:textId="77777777" w:rsidR="00195CEE" w:rsidRPr="00301234" w:rsidRDefault="00195CEE" w:rsidP="004064A1">
            <w:pPr>
              <w:spacing w:after="0" w:line="240" w:lineRule="auto"/>
              <w:jc w:val="both"/>
              <w:rPr>
                <w:rFonts w:ascii="Times New Roman" w:eastAsia="Times New Roman" w:hAnsi="Times New Roman" w:cs="Times New Roman"/>
                <w:b/>
                <w:color w:val="000000"/>
                <w:sz w:val="20"/>
                <w:szCs w:val="20"/>
                <w:lang w:eastAsia="en-MY"/>
              </w:rPr>
            </w:pPr>
            <w:r w:rsidRPr="00301234">
              <w:rPr>
                <w:rFonts w:ascii="Times New Roman" w:eastAsia="Times New Roman" w:hAnsi="Times New Roman" w:cs="Times New Roman"/>
                <w:b/>
                <w:color w:val="000000"/>
                <w:sz w:val="20"/>
                <w:szCs w:val="20"/>
                <w:lang w:eastAsia="en-MY"/>
              </w:rPr>
              <w:t>Option</w:t>
            </w:r>
          </w:p>
          <w:p w14:paraId="3EA531D5"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Yes</w:t>
            </w:r>
          </w:p>
          <w:p w14:paraId="62757D63" w14:textId="77777777" w:rsidR="00195CEE" w:rsidRPr="00985BDC" w:rsidRDefault="00195CEE" w:rsidP="004064A1">
            <w:pPr>
              <w:spacing w:after="0" w:line="240" w:lineRule="auto"/>
              <w:jc w:val="both"/>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No</w:t>
            </w:r>
          </w:p>
        </w:tc>
        <w:tc>
          <w:tcPr>
            <w:tcW w:w="2645" w:type="dxa"/>
            <w:tcBorders>
              <w:top w:val="single" w:sz="4" w:space="0" w:color="auto"/>
            </w:tcBorders>
            <w:shd w:val="clear" w:color="auto" w:fill="auto"/>
            <w:noWrap/>
          </w:tcPr>
          <w:p w14:paraId="505823F8"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p w14:paraId="6068B53D"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12</w:t>
            </w:r>
          </w:p>
          <w:p w14:paraId="2BFDBE54"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118</w:t>
            </w:r>
          </w:p>
        </w:tc>
        <w:tc>
          <w:tcPr>
            <w:tcW w:w="2326" w:type="dxa"/>
            <w:tcBorders>
              <w:top w:val="single" w:sz="4" w:space="0" w:color="auto"/>
            </w:tcBorders>
            <w:shd w:val="clear" w:color="auto" w:fill="auto"/>
            <w:noWrap/>
          </w:tcPr>
          <w:p w14:paraId="407B55D6"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p>
          <w:p w14:paraId="5698CADB"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9.2</w:t>
            </w:r>
          </w:p>
          <w:p w14:paraId="3EAB24C7" w14:textId="77777777" w:rsidR="00195CEE" w:rsidRPr="00985BDC" w:rsidRDefault="00195CEE" w:rsidP="00195CEE">
            <w:pPr>
              <w:spacing w:after="0" w:line="240" w:lineRule="auto"/>
              <w:jc w:val="center"/>
              <w:rPr>
                <w:rFonts w:ascii="Times New Roman" w:eastAsia="Times New Roman" w:hAnsi="Times New Roman" w:cs="Times New Roman"/>
                <w:color w:val="000000"/>
                <w:sz w:val="20"/>
                <w:szCs w:val="20"/>
                <w:lang w:eastAsia="en-MY"/>
              </w:rPr>
            </w:pPr>
            <w:r w:rsidRPr="00985BDC">
              <w:rPr>
                <w:rFonts w:ascii="Times New Roman" w:eastAsia="Times New Roman" w:hAnsi="Times New Roman" w:cs="Times New Roman"/>
                <w:color w:val="000000"/>
                <w:sz w:val="20"/>
                <w:szCs w:val="20"/>
                <w:lang w:eastAsia="en-MY"/>
              </w:rPr>
              <w:t>90.8</w:t>
            </w:r>
          </w:p>
        </w:tc>
      </w:tr>
    </w:tbl>
    <w:p w14:paraId="4CC55FEC" w14:textId="218EDCE7" w:rsidR="000F1EF7" w:rsidRPr="00195CEE" w:rsidRDefault="000F1EF7" w:rsidP="00195CEE">
      <w:pPr>
        <w:pStyle w:val="Heading2"/>
        <w:jc w:val="center"/>
        <w:rPr>
          <w:b w:val="0"/>
          <w:i/>
          <w:sz w:val="24"/>
          <w:szCs w:val="24"/>
        </w:rPr>
      </w:pPr>
      <w:bookmarkStart w:id="7" w:name="_Toc8645932"/>
      <w:r w:rsidRPr="00195CEE">
        <w:rPr>
          <w:b w:val="0"/>
          <w:i/>
          <w:sz w:val="24"/>
          <w:szCs w:val="24"/>
        </w:rPr>
        <w:t xml:space="preserve">Table </w:t>
      </w:r>
      <w:r w:rsidR="00195CEE">
        <w:rPr>
          <w:b w:val="0"/>
          <w:i/>
          <w:sz w:val="24"/>
          <w:szCs w:val="24"/>
        </w:rPr>
        <w:t>1</w:t>
      </w:r>
      <w:r w:rsidRPr="00195CEE">
        <w:rPr>
          <w:b w:val="0"/>
          <w:i/>
          <w:sz w:val="24"/>
          <w:szCs w:val="24"/>
        </w:rPr>
        <w:t>: Demographic Profile of Respondents</w:t>
      </w:r>
    </w:p>
    <w:p w14:paraId="79A69CAF" w14:textId="16E7917F" w:rsidR="002D4E28" w:rsidRPr="00195CEE" w:rsidRDefault="002D4E28" w:rsidP="00CF29E2">
      <w:pPr>
        <w:pStyle w:val="Heading2"/>
        <w:jc w:val="both"/>
        <w:rPr>
          <w:i/>
          <w:sz w:val="24"/>
          <w:szCs w:val="24"/>
        </w:rPr>
      </w:pPr>
      <w:r w:rsidRPr="00195CEE">
        <w:rPr>
          <w:i/>
          <w:sz w:val="24"/>
          <w:szCs w:val="24"/>
        </w:rPr>
        <w:t>Reliability Analysis</w:t>
      </w:r>
      <w:bookmarkEnd w:id="7"/>
    </w:p>
    <w:p w14:paraId="45ED8AC7" w14:textId="42EE4E49" w:rsidR="002D4E28" w:rsidRPr="00985BDC" w:rsidRDefault="00195CEE" w:rsidP="00FD225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Reliability test is conducted i</w:t>
      </w:r>
      <w:r w:rsidR="002D4E28" w:rsidRPr="00985BDC">
        <w:rPr>
          <w:rFonts w:ascii="Times New Roman" w:hAnsi="Times New Roman" w:cs="Times New Roman"/>
          <w:sz w:val="24"/>
          <w:szCs w:val="24"/>
        </w:rPr>
        <w:t xml:space="preserve">n order to determine the </w:t>
      </w:r>
      <w:r w:rsidR="00F25497" w:rsidRPr="00985BDC">
        <w:rPr>
          <w:rFonts w:ascii="Times New Roman" w:hAnsi="Times New Roman" w:cs="Times New Roman"/>
          <w:sz w:val="24"/>
          <w:szCs w:val="24"/>
        </w:rPr>
        <w:t>questionnaire was</w:t>
      </w:r>
      <w:r w:rsidR="002D4E28" w:rsidRPr="00985BDC">
        <w:rPr>
          <w:rFonts w:ascii="Times New Roman" w:hAnsi="Times New Roman" w:cs="Times New Roman"/>
          <w:sz w:val="24"/>
          <w:szCs w:val="24"/>
        </w:rPr>
        <w:t xml:space="preserve"> clear from random error and power to assess the persistent of result. (Chong, Eng, Gw</w:t>
      </w:r>
      <w:r>
        <w:rPr>
          <w:rFonts w:ascii="Times New Roman" w:hAnsi="Times New Roman" w:cs="Times New Roman"/>
          <w:sz w:val="24"/>
          <w:szCs w:val="24"/>
        </w:rPr>
        <w:t>ee, Ooi &amp; Wang, 2013). T</w:t>
      </w:r>
      <w:r w:rsidR="002D4E28" w:rsidRPr="00985BDC">
        <w:rPr>
          <w:rFonts w:ascii="Times New Roman" w:hAnsi="Times New Roman" w:cs="Times New Roman"/>
          <w:sz w:val="24"/>
          <w:szCs w:val="24"/>
        </w:rPr>
        <w:t xml:space="preserve">he preferable reliability test is Cronbach’s coefficient alpha. The coefficient alpha is the sign which imply the guidance and the power of the linear correlation among the dependent and independent variables. The range of 0 to 1 indicate that there is inner incompatible between response collected from the respondents. If the Cronbach alpha value is lower than 0.60, it indicates poor reliability Zikmund et al. (2013). </w:t>
      </w:r>
      <w:r w:rsidRPr="00985BDC">
        <w:rPr>
          <w:rFonts w:ascii="Times New Roman" w:hAnsi="Times New Roman" w:cs="Times New Roman"/>
          <w:sz w:val="24"/>
          <w:szCs w:val="24"/>
        </w:rPr>
        <w:t>From the relia</w:t>
      </w:r>
      <w:r>
        <w:rPr>
          <w:rFonts w:ascii="Times New Roman" w:hAnsi="Times New Roman" w:cs="Times New Roman"/>
          <w:sz w:val="24"/>
          <w:szCs w:val="24"/>
        </w:rPr>
        <w:t>bility statistics in Table 2</w:t>
      </w:r>
      <w:r w:rsidRPr="00985BDC">
        <w:rPr>
          <w:rFonts w:ascii="Times New Roman" w:hAnsi="Times New Roman" w:cs="Times New Roman"/>
          <w:sz w:val="24"/>
          <w:szCs w:val="24"/>
        </w:rPr>
        <w:t>, the Cronbach alpha coef</w:t>
      </w:r>
      <w:r>
        <w:rPr>
          <w:rFonts w:ascii="Times New Roman" w:hAnsi="Times New Roman" w:cs="Times New Roman"/>
          <w:sz w:val="24"/>
          <w:szCs w:val="24"/>
        </w:rPr>
        <w:t xml:space="preserve">ficient </w:t>
      </w:r>
      <w:r w:rsidRPr="00985BDC">
        <w:rPr>
          <w:rFonts w:ascii="Times New Roman" w:hAnsi="Times New Roman" w:cs="Times New Roman"/>
          <w:sz w:val="24"/>
          <w:szCs w:val="24"/>
        </w:rPr>
        <w:t xml:space="preserve">as computed from independent variables and </w:t>
      </w:r>
      <w:r>
        <w:rPr>
          <w:rFonts w:ascii="Times New Roman" w:hAnsi="Times New Roman" w:cs="Times New Roman"/>
          <w:sz w:val="24"/>
          <w:szCs w:val="24"/>
        </w:rPr>
        <w:t xml:space="preserve">dependent variables of 9 item. </w:t>
      </w:r>
      <w:r w:rsidRPr="00985BDC">
        <w:rPr>
          <w:rFonts w:ascii="Times New Roman" w:hAnsi="Times New Roman" w:cs="Times New Roman"/>
          <w:sz w:val="24"/>
          <w:szCs w:val="24"/>
        </w:rPr>
        <w:t>Overall variables Cronbach alpha is 0.873, which indicates that the items have relatively high internal consistency.</w:t>
      </w:r>
      <w:r w:rsidRPr="00985BDC" w:rsidDel="00250229">
        <w:rPr>
          <w:rFonts w:ascii="Times New Roman" w:hAnsi="Times New Roman" w:cs="Times New Roman"/>
          <w:sz w:val="24"/>
          <w:szCs w:val="24"/>
        </w:rPr>
        <w:t xml:space="preserve"> </w:t>
      </w:r>
      <w:r w:rsidRPr="00985BDC">
        <w:rPr>
          <w:rFonts w:ascii="Times New Roman" w:eastAsia="Times New Roman" w:hAnsi="Times New Roman" w:cs="Times New Roman"/>
          <w:sz w:val="24"/>
          <w:szCs w:val="24"/>
        </w:rPr>
        <w:t xml:space="preserve"> </w:t>
      </w:r>
    </w:p>
    <w:p w14:paraId="44F1DE2B" w14:textId="77777777" w:rsidR="002D4E28" w:rsidRPr="00985BDC" w:rsidRDefault="002D4E28" w:rsidP="00CF29E2">
      <w:pPr>
        <w:autoSpaceDE w:val="0"/>
        <w:autoSpaceDN w:val="0"/>
        <w:adjustRightInd w:val="0"/>
        <w:spacing w:after="0" w:line="240" w:lineRule="auto"/>
        <w:jc w:val="both"/>
        <w:rPr>
          <w:rFonts w:ascii="Times New Roman" w:hAnsi="Times New Roman" w:cs="Times New Roman"/>
          <w:sz w:val="24"/>
          <w:szCs w:val="24"/>
        </w:rPr>
      </w:pPr>
    </w:p>
    <w:tbl>
      <w:tblPr>
        <w:tblW w:w="3947" w:type="dxa"/>
        <w:tblInd w:w="2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29"/>
        <w:gridCol w:w="1718"/>
      </w:tblGrid>
      <w:tr w:rsidR="002D4E28" w:rsidRPr="00330119" w14:paraId="0730B077" w14:textId="77777777" w:rsidTr="00330119">
        <w:trPr>
          <w:cantSplit/>
          <w:trHeight w:val="288"/>
        </w:trPr>
        <w:tc>
          <w:tcPr>
            <w:tcW w:w="2229" w:type="dxa"/>
            <w:tcBorders>
              <w:top w:val="single" w:sz="4" w:space="0" w:color="auto"/>
              <w:left w:val="nil"/>
              <w:bottom w:val="single" w:sz="4" w:space="0" w:color="auto"/>
              <w:right w:val="nil"/>
            </w:tcBorders>
            <w:shd w:val="clear" w:color="auto" w:fill="FFFFFF"/>
            <w:vAlign w:val="center"/>
          </w:tcPr>
          <w:p w14:paraId="57C1DDA8" w14:textId="77777777" w:rsidR="002D4E28" w:rsidRPr="00330119" w:rsidRDefault="002D4E28" w:rsidP="00CF29E2">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30119">
              <w:rPr>
                <w:rFonts w:ascii="Times New Roman" w:hAnsi="Times New Roman" w:cs="Times New Roman"/>
                <w:b/>
                <w:color w:val="000000"/>
                <w:sz w:val="20"/>
                <w:szCs w:val="20"/>
              </w:rPr>
              <w:t>Cronbach's Alpha</w:t>
            </w:r>
          </w:p>
        </w:tc>
        <w:tc>
          <w:tcPr>
            <w:tcW w:w="1718" w:type="dxa"/>
            <w:tcBorders>
              <w:top w:val="single" w:sz="4" w:space="0" w:color="auto"/>
              <w:left w:val="nil"/>
              <w:bottom w:val="single" w:sz="4" w:space="0" w:color="auto"/>
              <w:right w:val="nil"/>
            </w:tcBorders>
            <w:shd w:val="clear" w:color="auto" w:fill="FFFFFF"/>
            <w:vAlign w:val="center"/>
          </w:tcPr>
          <w:p w14:paraId="43614F6C" w14:textId="77777777" w:rsidR="002D4E28" w:rsidRPr="00330119" w:rsidRDefault="002D4E28" w:rsidP="00CF29E2">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30119">
              <w:rPr>
                <w:rFonts w:ascii="Times New Roman" w:hAnsi="Times New Roman" w:cs="Times New Roman"/>
                <w:b/>
                <w:color w:val="000000"/>
                <w:sz w:val="20"/>
                <w:szCs w:val="20"/>
              </w:rPr>
              <w:t>N of Items</w:t>
            </w:r>
          </w:p>
        </w:tc>
      </w:tr>
      <w:tr w:rsidR="002D4E28" w:rsidRPr="00985BDC" w14:paraId="758430B0" w14:textId="77777777" w:rsidTr="00330119">
        <w:trPr>
          <w:cantSplit/>
          <w:trHeight w:val="288"/>
        </w:trPr>
        <w:tc>
          <w:tcPr>
            <w:tcW w:w="2229" w:type="dxa"/>
            <w:tcBorders>
              <w:top w:val="single" w:sz="4" w:space="0" w:color="auto"/>
              <w:left w:val="nil"/>
              <w:bottom w:val="single" w:sz="4" w:space="0" w:color="auto"/>
              <w:right w:val="nil"/>
            </w:tcBorders>
            <w:shd w:val="clear" w:color="auto" w:fill="FFFFFF"/>
            <w:vAlign w:val="center"/>
          </w:tcPr>
          <w:p w14:paraId="71EE6A9E" w14:textId="77777777" w:rsidR="002D4E28" w:rsidRPr="00195CEE" w:rsidRDefault="002D4E28" w:rsidP="00CF29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95CEE">
              <w:rPr>
                <w:rFonts w:ascii="Times New Roman" w:hAnsi="Times New Roman" w:cs="Times New Roman"/>
                <w:color w:val="000000"/>
                <w:sz w:val="20"/>
                <w:szCs w:val="20"/>
              </w:rPr>
              <w:t>.873</w:t>
            </w:r>
          </w:p>
        </w:tc>
        <w:tc>
          <w:tcPr>
            <w:tcW w:w="1718" w:type="dxa"/>
            <w:tcBorders>
              <w:top w:val="single" w:sz="4" w:space="0" w:color="auto"/>
              <w:left w:val="nil"/>
              <w:bottom w:val="single" w:sz="4" w:space="0" w:color="auto"/>
              <w:right w:val="nil"/>
            </w:tcBorders>
            <w:shd w:val="clear" w:color="auto" w:fill="FFFFFF"/>
            <w:vAlign w:val="center"/>
          </w:tcPr>
          <w:p w14:paraId="627D21BD" w14:textId="77777777" w:rsidR="002D4E28" w:rsidRPr="00195CEE" w:rsidRDefault="002D4E28" w:rsidP="00CF29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95CEE">
              <w:rPr>
                <w:rFonts w:ascii="Times New Roman" w:hAnsi="Times New Roman" w:cs="Times New Roman"/>
                <w:color w:val="000000"/>
                <w:sz w:val="20"/>
                <w:szCs w:val="20"/>
              </w:rPr>
              <w:t>9</w:t>
            </w:r>
          </w:p>
        </w:tc>
      </w:tr>
    </w:tbl>
    <w:p w14:paraId="4EB8AC09" w14:textId="18F91B93" w:rsidR="00330119" w:rsidRDefault="002D4E28" w:rsidP="00330119">
      <w:pPr>
        <w:pStyle w:val="Caption"/>
        <w:jc w:val="center"/>
        <w:rPr>
          <w:rFonts w:ascii="Times New Roman" w:hAnsi="Times New Roman" w:cs="Times New Roman"/>
          <w:bCs/>
          <w:color w:val="000000"/>
          <w:sz w:val="24"/>
          <w:szCs w:val="24"/>
        </w:rPr>
      </w:pPr>
      <w:bookmarkStart w:id="8" w:name="_Toc8612933"/>
      <w:r w:rsidRPr="00195CEE">
        <w:rPr>
          <w:rFonts w:ascii="Times New Roman" w:hAnsi="Times New Roman" w:cs="Times New Roman"/>
          <w:color w:val="auto"/>
          <w:sz w:val="24"/>
          <w:szCs w:val="24"/>
        </w:rPr>
        <w:lastRenderedPageBreak/>
        <w:t xml:space="preserve">Table </w:t>
      </w:r>
      <w:r w:rsidR="00195CEE" w:rsidRPr="00195CEE">
        <w:rPr>
          <w:rFonts w:ascii="Times New Roman" w:hAnsi="Times New Roman" w:cs="Times New Roman"/>
          <w:color w:val="auto"/>
          <w:sz w:val="24"/>
          <w:szCs w:val="24"/>
        </w:rPr>
        <w:t xml:space="preserve">2: </w:t>
      </w:r>
      <w:bookmarkEnd w:id="8"/>
      <w:r w:rsidR="00195CEE" w:rsidRPr="00195CEE">
        <w:rPr>
          <w:rFonts w:ascii="Times New Roman" w:hAnsi="Times New Roman" w:cs="Times New Roman"/>
          <w:bCs/>
          <w:color w:val="000000"/>
          <w:sz w:val="24"/>
          <w:szCs w:val="24"/>
        </w:rPr>
        <w:t>Reliability Statistics</w:t>
      </w:r>
    </w:p>
    <w:p w14:paraId="72835201" w14:textId="262144FE" w:rsidR="002D4E28" w:rsidRPr="00330119" w:rsidRDefault="002D4E28" w:rsidP="00330119">
      <w:pPr>
        <w:pStyle w:val="Heading2"/>
        <w:jc w:val="both"/>
        <w:rPr>
          <w:i/>
          <w:sz w:val="24"/>
          <w:szCs w:val="24"/>
        </w:rPr>
      </w:pPr>
      <w:bookmarkStart w:id="9" w:name="_Toc8645943"/>
      <w:r w:rsidRPr="00195CEE">
        <w:rPr>
          <w:i/>
          <w:sz w:val="24"/>
          <w:szCs w:val="24"/>
        </w:rPr>
        <w:t xml:space="preserve">Multiple Regression of </w:t>
      </w:r>
      <w:r w:rsidRPr="00195CEE">
        <w:rPr>
          <w:bCs w:val="0"/>
          <w:i/>
          <w:color w:val="000000"/>
          <w:sz w:val="24"/>
          <w:szCs w:val="24"/>
        </w:rPr>
        <w:t>Customer Switching Behaviour</w:t>
      </w:r>
      <w:bookmarkEnd w:id="9"/>
    </w:p>
    <w:tbl>
      <w:tblPr>
        <w:tblW w:w="7539" w:type="dxa"/>
        <w:jc w:val="center"/>
        <w:tblBorders>
          <w:top w:val="single" w:sz="4" w:space="0" w:color="auto"/>
          <w:bottom w:val="single" w:sz="4" w:space="0" w:color="auto"/>
        </w:tblBorders>
        <w:tblLook w:val="04A0" w:firstRow="1" w:lastRow="0" w:firstColumn="1" w:lastColumn="0" w:noHBand="0" w:noVBand="1"/>
      </w:tblPr>
      <w:tblGrid>
        <w:gridCol w:w="1350"/>
        <w:gridCol w:w="990"/>
        <w:gridCol w:w="1080"/>
        <w:gridCol w:w="1890"/>
        <w:gridCol w:w="2229"/>
      </w:tblGrid>
      <w:tr w:rsidR="00330119" w:rsidRPr="00330119" w14:paraId="77348094" w14:textId="77777777" w:rsidTr="00330119">
        <w:trPr>
          <w:trHeight w:val="288"/>
          <w:jc w:val="center"/>
        </w:trPr>
        <w:tc>
          <w:tcPr>
            <w:tcW w:w="1350" w:type="dxa"/>
            <w:tcBorders>
              <w:top w:val="single" w:sz="4" w:space="0" w:color="auto"/>
              <w:bottom w:val="single" w:sz="4" w:space="0" w:color="auto"/>
            </w:tcBorders>
            <w:shd w:val="clear" w:color="auto" w:fill="auto"/>
            <w:vAlign w:val="center"/>
            <w:hideMark/>
          </w:tcPr>
          <w:p w14:paraId="1D174144" w14:textId="77777777" w:rsidR="002D4E28" w:rsidRPr="00330119" w:rsidRDefault="002D4E28" w:rsidP="00CF29E2">
            <w:pPr>
              <w:spacing w:after="0" w:line="240" w:lineRule="auto"/>
              <w:rPr>
                <w:rFonts w:ascii="Times New Roman" w:eastAsia="Times New Roman" w:hAnsi="Times New Roman" w:cs="Times New Roman"/>
                <w:b/>
                <w:color w:val="000000"/>
                <w:sz w:val="20"/>
                <w:szCs w:val="20"/>
                <w:lang w:eastAsia="en-MY"/>
              </w:rPr>
            </w:pPr>
            <w:r w:rsidRPr="00330119">
              <w:rPr>
                <w:rFonts w:ascii="Times New Roman" w:eastAsia="Times New Roman" w:hAnsi="Times New Roman" w:cs="Times New Roman"/>
                <w:b/>
                <w:color w:val="000000"/>
                <w:sz w:val="20"/>
                <w:szCs w:val="20"/>
                <w:lang w:eastAsia="en-MY"/>
              </w:rPr>
              <w:t>Model</w:t>
            </w:r>
          </w:p>
        </w:tc>
        <w:tc>
          <w:tcPr>
            <w:tcW w:w="990" w:type="dxa"/>
            <w:tcBorders>
              <w:top w:val="single" w:sz="4" w:space="0" w:color="auto"/>
              <w:bottom w:val="single" w:sz="4" w:space="0" w:color="auto"/>
            </w:tcBorders>
            <w:shd w:val="clear" w:color="auto" w:fill="auto"/>
            <w:vAlign w:val="center"/>
            <w:hideMark/>
          </w:tcPr>
          <w:p w14:paraId="202F8993" w14:textId="77777777" w:rsidR="002D4E28" w:rsidRPr="00330119" w:rsidRDefault="002D4E28" w:rsidP="00CF29E2">
            <w:pPr>
              <w:spacing w:after="0" w:line="240" w:lineRule="auto"/>
              <w:rPr>
                <w:rFonts w:ascii="Times New Roman" w:eastAsia="Times New Roman" w:hAnsi="Times New Roman" w:cs="Times New Roman"/>
                <w:b/>
                <w:color w:val="000000"/>
                <w:sz w:val="20"/>
                <w:szCs w:val="20"/>
                <w:lang w:eastAsia="en-MY"/>
              </w:rPr>
            </w:pPr>
            <w:r w:rsidRPr="00330119">
              <w:rPr>
                <w:rFonts w:ascii="Times New Roman" w:eastAsia="Times New Roman" w:hAnsi="Times New Roman" w:cs="Times New Roman"/>
                <w:b/>
                <w:color w:val="000000"/>
                <w:sz w:val="20"/>
                <w:szCs w:val="20"/>
                <w:lang w:eastAsia="en-MY"/>
              </w:rPr>
              <w:t>R</w:t>
            </w:r>
          </w:p>
        </w:tc>
        <w:tc>
          <w:tcPr>
            <w:tcW w:w="1080" w:type="dxa"/>
            <w:tcBorders>
              <w:top w:val="single" w:sz="4" w:space="0" w:color="auto"/>
              <w:bottom w:val="single" w:sz="4" w:space="0" w:color="auto"/>
            </w:tcBorders>
            <w:shd w:val="clear" w:color="auto" w:fill="auto"/>
            <w:vAlign w:val="center"/>
            <w:hideMark/>
          </w:tcPr>
          <w:p w14:paraId="5ABD84E6" w14:textId="77777777" w:rsidR="002D4E28" w:rsidRPr="00330119" w:rsidRDefault="002D4E28" w:rsidP="00CF29E2">
            <w:pPr>
              <w:spacing w:after="0" w:line="240" w:lineRule="auto"/>
              <w:rPr>
                <w:rFonts w:ascii="Times New Roman" w:eastAsia="Times New Roman" w:hAnsi="Times New Roman" w:cs="Times New Roman"/>
                <w:b/>
                <w:color w:val="000000"/>
                <w:sz w:val="20"/>
                <w:szCs w:val="20"/>
                <w:lang w:eastAsia="en-MY"/>
              </w:rPr>
            </w:pPr>
            <w:r w:rsidRPr="00330119">
              <w:rPr>
                <w:rFonts w:ascii="Times New Roman" w:eastAsia="Times New Roman" w:hAnsi="Times New Roman" w:cs="Times New Roman"/>
                <w:b/>
                <w:color w:val="000000"/>
                <w:sz w:val="20"/>
                <w:szCs w:val="20"/>
                <w:lang w:eastAsia="en-MY"/>
              </w:rPr>
              <w:t>R Square</w:t>
            </w:r>
          </w:p>
        </w:tc>
        <w:tc>
          <w:tcPr>
            <w:tcW w:w="1890" w:type="dxa"/>
            <w:tcBorders>
              <w:top w:val="single" w:sz="4" w:space="0" w:color="auto"/>
              <w:bottom w:val="single" w:sz="4" w:space="0" w:color="auto"/>
            </w:tcBorders>
            <w:shd w:val="clear" w:color="auto" w:fill="auto"/>
            <w:vAlign w:val="center"/>
            <w:hideMark/>
          </w:tcPr>
          <w:p w14:paraId="33A043BF" w14:textId="77777777" w:rsidR="002D4E28" w:rsidRPr="00330119" w:rsidRDefault="002D4E28" w:rsidP="00CF29E2">
            <w:pPr>
              <w:spacing w:after="0" w:line="240" w:lineRule="auto"/>
              <w:rPr>
                <w:rFonts w:ascii="Times New Roman" w:eastAsia="Times New Roman" w:hAnsi="Times New Roman" w:cs="Times New Roman"/>
                <w:b/>
                <w:color w:val="000000"/>
                <w:sz w:val="20"/>
                <w:szCs w:val="20"/>
                <w:lang w:eastAsia="en-MY"/>
              </w:rPr>
            </w:pPr>
            <w:r w:rsidRPr="00330119">
              <w:rPr>
                <w:rFonts w:ascii="Times New Roman" w:eastAsia="Times New Roman" w:hAnsi="Times New Roman" w:cs="Times New Roman"/>
                <w:b/>
                <w:color w:val="000000"/>
                <w:sz w:val="20"/>
                <w:szCs w:val="20"/>
                <w:lang w:eastAsia="en-MY"/>
              </w:rPr>
              <w:t>Adjusted R Square</w:t>
            </w:r>
          </w:p>
        </w:tc>
        <w:tc>
          <w:tcPr>
            <w:tcW w:w="2229" w:type="dxa"/>
            <w:tcBorders>
              <w:top w:val="single" w:sz="4" w:space="0" w:color="auto"/>
              <w:bottom w:val="single" w:sz="4" w:space="0" w:color="auto"/>
            </w:tcBorders>
            <w:shd w:val="clear" w:color="auto" w:fill="auto"/>
            <w:vAlign w:val="center"/>
            <w:hideMark/>
          </w:tcPr>
          <w:p w14:paraId="2653C836" w14:textId="77777777" w:rsidR="002D4E28" w:rsidRPr="00330119" w:rsidRDefault="002D4E28" w:rsidP="00CF29E2">
            <w:pPr>
              <w:spacing w:after="0" w:line="240" w:lineRule="auto"/>
              <w:rPr>
                <w:rFonts w:ascii="Times New Roman" w:eastAsia="Times New Roman" w:hAnsi="Times New Roman" w:cs="Times New Roman"/>
                <w:b/>
                <w:color w:val="000000"/>
                <w:sz w:val="20"/>
                <w:szCs w:val="20"/>
                <w:lang w:eastAsia="en-MY"/>
              </w:rPr>
            </w:pPr>
            <w:r w:rsidRPr="00330119">
              <w:rPr>
                <w:rFonts w:ascii="Times New Roman" w:eastAsia="Times New Roman" w:hAnsi="Times New Roman" w:cs="Times New Roman"/>
                <w:b/>
                <w:color w:val="000000"/>
                <w:sz w:val="20"/>
                <w:szCs w:val="20"/>
                <w:lang w:eastAsia="en-MY"/>
              </w:rPr>
              <w:t>Std. Error of the Estimate</w:t>
            </w:r>
          </w:p>
        </w:tc>
      </w:tr>
      <w:tr w:rsidR="00330119" w:rsidRPr="00330119" w14:paraId="70C96FFF" w14:textId="77777777" w:rsidTr="00330119">
        <w:trPr>
          <w:trHeight w:val="288"/>
          <w:jc w:val="center"/>
        </w:trPr>
        <w:tc>
          <w:tcPr>
            <w:tcW w:w="1350" w:type="dxa"/>
            <w:tcBorders>
              <w:top w:val="single" w:sz="4" w:space="0" w:color="auto"/>
            </w:tcBorders>
            <w:shd w:val="clear" w:color="auto" w:fill="auto"/>
            <w:noWrap/>
            <w:hideMark/>
          </w:tcPr>
          <w:p w14:paraId="34359A1D" w14:textId="77777777" w:rsidR="002D4E28" w:rsidRPr="00330119"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330119">
              <w:rPr>
                <w:rFonts w:ascii="Times New Roman" w:eastAsia="Times New Roman" w:hAnsi="Times New Roman" w:cs="Times New Roman"/>
                <w:color w:val="000000"/>
                <w:sz w:val="20"/>
                <w:szCs w:val="20"/>
                <w:lang w:eastAsia="en-MY"/>
              </w:rPr>
              <w:t>1</w:t>
            </w:r>
          </w:p>
        </w:tc>
        <w:tc>
          <w:tcPr>
            <w:tcW w:w="990" w:type="dxa"/>
            <w:tcBorders>
              <w:top w:val="single" w:sz="4" w:space="0" w:color="auto"/>
            </w:tcBorders>
            <w:shd w:val="clear" w:color="auto" w:fill="auto"/>
            <w:noWrap/>
            <w:hideMark/>
          </w:tcPr>
          <w:p w14:paraId="07661731" w14:textId="77777777" w:rsidR="002D4E28" w:rsidRPr="00330119"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330119">
              <w:rPr>
                <w:rFonts w:ascii="Times New Roman" w:eastAsia="Times New Roman" w:hAnsi="Times New Roman" w:cs="Times New Roman"/>
                <w:color w:val="000000"/>
                <w:sz w:val="20"/>
                <w:szCs w:val="20"/>
                <w:lang w:eastAsia="en-MY"/>
              </w:rPr>
              <w:t>.243</w:t>
            </w:r>
            <w:r w:rsidRPr="00330119">
              <w:rPr>
                <w:rFonts w:ascii="Times New Roman" w:eastAsia="Times New Roman" w:hAnsi="Times New Roman" w:cs="Times New Roman"/>
                <w:color w:val="000000"/>
                <w:sz w:val="20"/>
                <w:szCs w:val="20"/>
                <w:vertAlign w:val="superscript"/>
                <w:lang w:eastAsia="en-MY"/>
              </w:rPr>
              <w:t>a</w:t>
            </w:r>
          </w:p>
        </w:tc>
        <w:tc>
          <w:tcPr>
            <w:tcW w:w="1080" w:type="dxa"/>
            <w:tcBorders>
              <w:top w:val="single" w:sz="4" w:space="0" w:color="auto"/>
            </w:tcBorders>
            <w:shd w:val="clear" w:color="auto" w:fill="auto"/>
            <w:noWrap/>
            <w:hideMark/>
          </w:tcPr>
          <w:p w14:paraId="72945F4E" w14:textId="77777777" w:rsidR="002D4E28" w:rsidRPr="00330119"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330119">
              <w:rPr>
                <w:rFonts w:ascii="Times New Roman" w:eastAsia="Times New Roman" w:hAnsi="Times New Roman" w:cs="Times New Roman"/>
                <w:color w:val="000000"/>
                <w:sz w:val="20"/>
                <w:szCs w:val="20"/>
                <w:lang w:eastAsia="en-MY"/>
              </w:rPr>
              <w:t>.059</w:t>
            </w:r>
          </w:p>
        </w:tc>
        <w:tc>
          <w:tcPr>
            <w:tcW w:w="1890" w:type="dxa"/>
            <w:tcBorders>
              <w:top w:val="single" w:sz="4" w:space="0" w:color="auto"/>
            </w:tcBorders>
            <w:shd w:val="clear" w:color="auto" w:fill="auto"/>
            <w:noWrap/>
            <w:hideMark/>
          </w:tcPr>
          <w:p w14:paraId="41192F7E" w14:textId="77777777" w:rsidR="002D4E28" w:rsidRPr="00330119"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330119">
              <w:rPr>
                <w:rFonts w:ascii="Times New Roman" w:eastAsia="Times New Roman" w:hAnsi="Times New Roman" w:cs="Times New Roman"/>
                <w:color w:val="000000"/>
                <w:sz w:val="20"/>
                <w:szCs w:val="20"/>
                <w:lang w:eastAsia="en-MY"/>
              </w:rPr>
              <w:t>-.003</w:t>
            </w:r>
          </w:p>
        </w:tc>
        <w:tc>
          <w:tcPr>
            <w:tcW w:w="2229" w:type="dxa"/>
            <w:tcBorders>
              <w:top w:val="single" w:sz="4" w:space="0" w:color="auto"/>
            </w:tcBorders>
            <w:shd w:val="clear" w:color="auto" w:fill="auto"/>
            <w:noWrap/>
            <w:hideMark/>
          </w:tcPr>
          <w:p w14:paraId="7E3FCDDC" w14:textId="77777777" w:rsidR="002D4E28" w:rsidRPr="00330119"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330119">
              <w:rPr>
                <w:rFonts w:ascii="Times New Roman" w:eastAsia="Times New Roman" w:hAnsi="Times New Roman" w:cs="Times New Roman"/>
                <w:color w:val="000000"/>
                <w:sz w:val="20"/>
                <w:szCs w:val="20"/>
                <w:lang w:eastAsia="en-MY"/>
              </w:rPr>
              <w:t>.291</w:t>
            </w:r>
          </w:p>
        </w:tc>
      </w:tr>
    </w:tbl>
    <w:p w14:paraId="6E41FE46" w14:textId="1D887E06" w:rsidR="002D4E28" w:rsidRPr="00330119" w:rsidRDefault="002D4E28" w:rsidP="00CF29E2">
      <w:pPr>
        <w:pStyle w:val="Caption"/>
        <w:jc w:val="center"/>
        <w:rPr>
          <w:rFonts w:ascii="Times New Roman" w:hAnsi="Times New Roman" w:cs="Times New Roman"/>
          <w:color w:val="auto"/>
          <w:sz w:val="24"/>
          <w:szCs w:val="24"/>
        </w:rPr>
      </w:pPr>
      <w:r w:rsidRPr="00330119">
        <w:rPr>
          <w:rFonts w:ascii="Times New Roman" w:hAnsi="Times New Roman" w:cs="Times New Roman"/>
          <w:color w:val="auto"/>
          <w:sz w:val="24"/>
          <w:szCs w:val="24"/>
        </w:rPr>
        <w:t xml:space="preserve">Table </w:t>
      </w:r>
      <w:r w:rsidR="00330119" w:rsidRPr="00330119">
        <w:rPr>
          <w:rFonts w:ascii="Times New Roman" w:hAnsi="Times New Roman" w:cs="Times New Roman"/>
          <w:color w:val="auto"/>
          <w:sz w:val="24"/>
          <w:szCs w:val="24"/>
        </w:rPr>
        <w:t>3</w:t>
      </w:r>
      <w:r w:rsidRPr="00330119">
        <w:rPr>
          <w:rFonts w:ascii="Times New Roman" w:hAnsi="Times New Roman" w:cs="Times New Roman"/>
          <w:color w:val="auto"/>
          <w:sz w:val="24"/>
          <w:szCs w:val="24"/>
        </w:rPr>
        <w:t>: Model Summary Customer Switching Behaviour</w:t>
      </w:r>
    </w:p>
    <w:p w14:paraId="74C4B95E" w14:textId="3F373691" w:rsidR="002D4E28" w:rsidRPr="00985BDC" w:rsidRDefault="002D4E28" w:rsidP="00CF29E2">
      <w:pPr>
        <w:spacing w:line="240" w:lineRule="auto"/>
        <w:jc w:val="both"/>
        <w:rPr>
          <w:rFonts w:ascii="Times New Roman" w:hAnsi="Times New Roman" w:cs="Times New Roman"/>
          <w:sz w:val="24"/>
          <w:szCs w:val="24"/>
        </w:rPr>
      </w:pPr>
      <w:r w:rsidRPr="00985BDC">
        <w:rPr>
          <w:rFonts w:ascii="Times New Roman" w:hAnsi="Times New Roman" w:cs="Times New Roman"/>
          <w:sz w:val="24"/>
          <w:szCs w:val="24"/>
        </w:rPr>
        <w:t xml:space="preserve"> </w:t>
      </w:r>
      <w:r w:rsidR="00FD225C">
        <w:rPr>
          <w:rFonts w:ascii="Times New Roman" w:hAnsi="Times New Roman" w:cs="Times New Roman"/>
          <w:sz w:val="24"/>
          <w:szCs w:val="24"/>
        </w:rPr>
        <w:tab/>
      </w:r>
      <w:r w:rsidRPr="00985BDC">
        <w:rPr>
          <w:rFonts w:ascii="Times New Roman" w:hAnsi="Times New Roman" w:cs="Times New Roman"/>
          <w:sz w:val="24"/>
          <w:szCs w:val="24"/>
        </w:rPr>
        <w:t>In order to discuss the variance in a dependent variable multiple regression analysis technique apply to determine the single or more than independent variables. The table display the model summary, which shown R. The association among the independent variables and dependent variable is 0.243. It assesses the percentage of explanatory strength of the independent used. Therefore, it is proved that the variables explain 5.9% of the variance in the customer option switching. The R square value is essential due to it indicate the percentage for the personal characteristics.</w:t>
      </w:r>
    </w:p>
    <w:p w14:paraId="3A082FA1" w14:textId="4A544247" w:rsidR="002D4E28" w:rsidRPr="00985BDC" w:rsidRDefault="002D4E28" w:rsidP="00330119">
      <w:pPr>
        <w:pStyle w:val="Heading3"/>
        <w:spacing w:line="240" w:lineRule="auto"/>
        <w:jc w:val="both"/>
        <w:rPr>
          <w:rFonts w:ascii="Times New Roman" w:hAnsi="Times New Roman" w:cs="Times New Roman"/>
          <w:color w:val="auto"/>
        </w:rPr>
      </w:pPr>
    </w:p>
    <w:tbl>
      <w:tblPr>
        <w:tblW w:w="8214" w:type="dxa"/>
        <w:jc w:val="center"/>
        <w:tblBorders>
          <w:top w:val="single" w:sz="4" w:space="0" w:color="auto"/>
          <w:bottom w:val="single" w:sz="4" w:space="0" w:color="auto"/>
        </w:tblBorders>
        <w:tblLook w:val="04A0" w:firstRow="1" w:lastRow="0" w:firstColumn="1" w:lastColumn="0" w:noHBand="0" w:noVBand="1"/>
      </w:tblPr>
      <w:tblGrid>
        <w:gridCol w:w="387"/>
        <w:gridCol w:w="1696"/>
        <w:gridCol w:w="1265"/>
        <w:gridCol w:w="1195"/>
        <w:gridCol w:w="1247"/>
        <w:gridCol w:w="1205"/>
        <w:gridCol w:w="1219"/>
      </w:tblGrid>
      <w:tr w:rsidR="002D4E28" w:rsidRPr="00FD225C" w14:paraId="0D379C42" w14:textId="77777777" w:rsidTr="00FD225C">
        <w:trPr>
          <w:trHeight w:val="288"/>
          <w:jc w:val="center"/>
        </w:trPr>
        <w:tc>
          <w:tcPr>
            <w:tcW w:w="2083" w:type="dxa"/>
            <w:gridSpan w:val="2"/>
            <w:tcBorders>
              <w:top w:val="single" w:sz="4" w:space="0" w:color="auto"/>
              <w:bottom w:val="single" w:sz="4" w:space="0" w:color="auto"/>
            </w:tcBorders>
            <w:shd w:val="clear" w:color="auto" w:fill="auto"/>
            <w:vAlign w:val="bottom"/>
            <w:hideMark/>
          </w:tcPr>
          <w:p w14:paraId="705D8339" w14:textId="77777777" w:rsidR="002D4E28" w:rsidRPr="00FD225C" w:rsidRDefault="002D4E28" w:rsidP="00FD225C">
            <w:pPr>
              <w:spacing w:after="0" w:line="240" w:lineRule="auto"/>
              <w:rPr>
                <w:rFonts w:ascii="Times New Roman" w:eastAsia="Times New Roman" w:hAnsi="Times New Roman" w:cs="Times New Roman"/>
                <w:b/>
                <w:color w:val="000000"/>
                <w:sz w:val="20"/>
                <w:szCs w:val="20"/>
                <w:lang w:eastAsia="en-MY"/>
              </w:rPr>
            </w:pPr>
            <w:r w:rsidRPr="00FD225C">
              <w:rPr>
                <w:rFonts w:ascii="Times New Roman" w:eastAsia="Times New Roman" w:hAnsi="Times New Roman" w:cs="Times New Roman"/>
                <w:b/>
                <w:color w:val="000000"/>
                <w:sz w:val="20"/>
                <w:szCs w:val="20"/>
                <w:lang w:eastAsia="en-MY"/>
              </w:rPr>
              <w:t>Model</w:t>
            </w:r>
          </w:p>
        </w:tc>
        <w:tc>
          <w:tcPr>
            <w:tcW w:w="1265" w:type="dxa"/>
            <w:tcBorders>
              <w:top w:val="single" w:sz="4" w:space="0" w:color="auto"/>
              <w:bottom w:val="single" w:sz="4" w:space="0" w:color="auto"/>
            </w:tcBorders>
            <w:shd w:val="clear" w:color="auto" w:fill="auto"/>
            <w:vAlign w:val="bottom"/>
            <w:hideMark/>
          </w:tcPr>
          <w:p w14:paraId="4E8012D9" w14:textId="77777777" w:rsidR="002D4E28" w:rsidRPr="00FD225C" w:rsidRDefault="002D4E28" w:rsidP="00FD225C">
            <w:pPr>
              <w:spacing w:after="0" w:line="240" w:lineRule="auto"/>
              <w:rPr>
                <w:rFonts w:ascii="Times New Roman" w:eastAsia="Times New Roman" w:hAnsi="Times New Roman" w:cs="Times New Roman"/>
                <w:b/>
                <w:color w:val="000000"/>
                <w:sz w:val="20"/>
                <w:szCs w:val="20"/>
                <w:lang w:eastAsia="en-MY"/>
              </w:rPr>
            </w:pPr>
            <w:r w:rsidRPr="00FD225C">
              <w:rPr>
                <w:rFonts w:ascii="Times New Roman" w:eastAsia="Times New Roman" w:hAnsi="Times New Roman" w:cs="Times New Roman"/>
                <w:b/>
                <w:color w:val="000000"/>
                <w:sz w:val="20"/>
                <w:szCs w:val="20"/>
                <w:lang w:eastAsia="en-MY"/>
              </w:rPr>
              <w:t>Sum of Squares</w:t>
            </w:r>
          </w:p>
        </w:tc>
        <w:tc>
          <w:tcPr>
            <w:tcW w:w="1195" w:type="dxa"/>
            <w:tcBorders>
              <w:top w:val="single" w:sz="4" w:space="0" w:color="auto"/>
              <w:bottom w:val="single" w:sz="4" w:space="0" w:color="auto"/>
            </w:tcBorders>
            <w:shd w:val="clear" w:color="auto" w:fill="auto"/>
            <w:vAlign w:val="bottom"/>
            <w:hideMark/>
          </w:tcPr>
          <w:p w14:paraId="225FF376" w14:textId="77777777" w:rsidR="002D4E28" w:rsidRPr="00FD225C" w:rsidRDefault="002D4E28" w:rsidP="00FD225C">
            <w:pPr>
              <w:spacing w:after="0" w:line="240" w:lineRule="auto"/>
              <w:rPr>
                <w:rFonts w:ascii="Times New Roman" w:eastAsia="Times New Roman" w:hAnsi="Times New Roman" w:cs="Times New Roman"/>
                <w:b/>
                <w:color w:val="000000"/>
                <w:sz w:val="20"/>
                <w:szCs w:val="20"/>
                <w:lang w:eastAsia="en-MY"/>
              </w:rPr>
            </w:pPr>
            <w:r w:rsidRPr="00FD225C">
              <w:rPr>
                <w:rFonts w:ascii="Times New Roman" w:eastAsia="Times New Roman" w:hAnsi="Times New Roman" w:cs="Times New Roman"/>
                <w:b/>
                <w:color w:val="000000"/>
                <w:sz w:val="20"/>
                <w:szCs w:val="20"/>
                <w:lang w:eastAsia="en-MY"/>
              </w:rPr>
              <w:t>df</w:t>
            </w:r>
          </w:p>
        </w:tc>
        <w:tc>
          <w:tcPr>
            <w:tcW w:w="1247" w:type="dxa"/>
            <w:tcBorders>
              <w:top w:val="single" w:sz="4" w:space="0" w:color="auto"/>
              <w:bottom w:val="single" w:sz="4" w:space="0" w:color="auto"/>
            </w:tcBorders>
            <w:shd w:val="clear" w:color="auto" w:fill="auto"/>
            <w:vAlign w:val="bottom"/>
            <w:hideMark/>
          </w:tcPr>
          <w:p w14:paraId="560BCD88" w14:textId="77777777" w:rsidR="002D4E28" w:rsidRPr="00FD225C" w:rsidRDefault="002D4E28" w:rsidP="00FD225C">
            <w:pPr>
              <w:spacing w:after="0" w:line="240" w:lineRule="auto"/>
              <w:rPr>
                <w:rFonts w:ascii="Times New Roman" w:eastAsia="Times New Roman" w:hAnsi="Times New Roman" w:cs="Times New Roman"/>
                <w:b/>
                <w:color w:val="000000"/>
                <w:sz w:val="20"/>
                <w:szCs w:val="20"/>
                <w:lang w:eastAsia="en-MY"/>
              </w:rPr>
            </w:pPr>
            <w:r w:rsidRPr="00FD225C">
              <w:rPr>
                <w:rFonts w:ascii="Times New Roman" w:eastAsia="Times New Roman" w:hAnsi="Times New Roman" w:cs="Times New Roman"/>
                <w:b/>
                <w:color w:val="000000"/>
                <w:sz w:val="20"/>
                <w:szCs w:val="20"/>
                <w:lang w:eastAsia="en-MY"/>
              </w:rPr>
              <w:t>Mean Square</w:t>
            </w:r>
          </w:p>
        </w:tc>
        <w:tc>
          <w:tcPr>
            <w:tcW w:w="1205" w:type="dxa"/>
            <w:tcBorders>
              <w:top w:val="single" w:sz="4" w:space="0" w:color="auto"/>
              <w:bottom w:val="single" w:sz="4" w:space="0" w:color="auto"/>
            </w:tcBorders>
            <w:shd w:val="clear" w:color="auto" w:fill="auto"/>
            <w:vAlign w:val="bottom"/>
            <w:hideMark/>
          </w:tcPr>
          <w:p w14:paraId="1DD8C82E" w14:textId="77777777" w:rsidR="002D4E28" w:rsidRPr="00FD225C" w:rsidRDefault="002D4E28" w:rsidP="00FD225C">
            <w:pPr>
              <w:spacing w:after="0" w:line="240" w:lineRule="auto"/>
              <w:rPr>
                <w:rFonts w:ascii="Times New Roman" w:eastAsia="Times New Roman" w:hAnsi="Times New Roman" w:cs="Times New Roman"/>
                <w:b/>
                <w:color w:val="000000"/>
                <w:sz w:val="20"/>
                <w:szCs w:val="20"/>
                <w:lang w:eastAsia="en-MY"/>
              </w:rPr>
            </w:pPr>
            <w:r w:rsidRPr="00FD225C">
              <w:rPr>
                <w:rFonts w:ascii="Times New Roman" w:eastAsia="Times New Roman" w:hAnsi="Times New Roman" w:cs="Times New Roman"/>
                <w:b/>
                <w:color w:val="000000"/>
                <w:sz w:val="20"/>
                <w:szCs w:val="20"/>
                <w:lang w:eastAsia="en-MY"/>
              </w:rPr>
              <w:t>F</w:t>
            </w:r>
          </w:p>
        </w:tc>
        <w:tc>
          <w:tcPr>
            <w:tcW w:w="1219" w:type="dxa"/>
            <w:tcBorders>
              <w:top w:val="single" w:sz="4" w:space="0" w:color="auto"/>
              <w:bottom w:val="single" w:sz="4" w:space="0" w:color="auto"/>
            </w:tcBorders>
            <w:shd w:val="clear" w:color="auto" w:fill="auto"/>
            <w:vAlign w:val="bottom"/>
            <w:hideMark/>
          </w:tcPr>
          <w:p w14:paraId="20844429" w14:textId="77777777" w:rsidR="002D4E28" w:rsidRPr="00FD225C" w:rsidRDefault="002D4E28" w:rsidP="00FD225C">
            <w:pPr>
              <w:spacing w:after="0" w:line="240" w:lineRule="auto"/>
              <w:rPr>
                <w:rFonts w:ascii="Times New Roman" w:eastAsia="Times New Roman" w:hAnsi="Times New Roman" w:cs="Times New Roman"/>
                <w:b/>
                <w:color w:val="000000"/>
                <w:sz w:val="20"/>
                <w:szCs w:val="20"/>
                <w:lang w:eastAsia="en-MY"/>
              </w:rPr>
            </w:pPr>
            <w:r w:rsidRPr="00FD225C">
              <w:rPr>
                <w:rFonts w:ascii="Times New Roman" w:eastAsia="Times New Roman" w:hAnsi="Times New Roman" w:cs="Times New Roman"/>
                <w:b/>
                <w:color w:val="000000"/>
                <w:sz w:val="20"/>
                <w:szCs w:val="20"/>
                <w:lang w:eastAsia="en-MY"/>
              </w:rPr>
              <w:t>Sig.</w:t>
            </w:r>
          </w:p>
        </w:tc>
      </w:tr>
      <w:tr w:rsidR="002D4E28" w:rsidRPr="00FD225C" w14:paraId="175F8150" w14:textId="77777777" w:rsidTr="00FD225C">
        <w:trPr>
          <w:trHeight w:val="288"/>
          <w:jc w:val="center"/>
        </w:trPr>
        <w:tc>
          <w:tcPr>
            <w:tcW w:w="387" w:type="dxa"/>
            <w:vMerge w:val="restart"/>
            <w:tcBorders>
              <w:top w:val="single" w:sz="4" w:space="0" w:color="auto"/>
            </w:tcBorders>
            <w:shd w:val="clear" w:color="auto" w:fill="auto"/>
            <w:noWrap/>
            <w:hideMark/>
          </w:tcPr>
          <w:p w14:paraId="29724EC5" w14:textId="77777777" w:rsidR="002D4E28" w:rsidRPr="00FD225C" w:rsidRDefault="002D4E28" w:rsidP="00FD225C">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1</w:t>
            </w:r>
          </w:p>
        </w:tc>
        <w:tc>
          <w:tcPr>
            <w:tcW w:w="1696" w:type="dxa"/>
            <w:tcBorders>
              <w:top w:val="single" w:sz="4" w:space="0" w:color="auto"/>
            </w:tcBorders>
            <w:shd w:val="clear" w:color="auto" w:fill="auto"/>
            <w:hideMark/>
          </w:tcPr>
          <w:p w14:paraId="21449749" w14:textId="77777777" w:rsidR="002D4E28" w:rsidRPr="00FD225C" w:rsidRDefault="002D4E28" w:rsidP="00FD225C">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Regression</w:t>
            </w:r>
          </w:p>
        </w:tc>
        <w:tc>
          <w:tcPr>
            <w:tcW w:w="1265" w:type="dxa"/>
            <w:tcBorders>
              <w:top w:val="single" w:sz="4" w:space="0" w:color="auto"/>
            </w:tcBorders>
            <w:shd w:val="clear" w:color="auto" w:fill="auto"/>
            <w:noWrap/>
            <w:hideMark/>
          </w:tcPr>
          <w:p w14:paraId="5F6C9C71"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.643</w:t>
            </w:r>
          </w:p>
        </w:tc>
        <w:tc>
          <w:tcPr>
            <w:tcW w:w="1195" w:type="dxa"/>
            <w:tcBorders>
              <w:top w:val="single" w:sz="4" w:space="0" w:color="auto"/>
            </w:tcBorders>
            <w:shd w:val="clear" w:color="auto" w:fill="auto"/>
            <w:noWrap/>
            <w:hideMark/>
          </w:tcPr>
          <w:p w14:paraId="64BA7B7B"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8</w:t>
            </w:r>
          </w:p>
        </w:tc>
        <w:tc>
          <w:tcPr>
            <w:tcW w:w="1247" w:type="dxa"/>
            <w:tcBorders>
              <w:top w:val="single" w:sz="4" w:space="0" w:color="auto"/>
            </w:tcBorders>
            <w:shd w:val="clear" w:color="auto" w:fill="auto"/>
            <w:noWrap/>
            <w:hideMark/>
          </w:tcPr>
          <w:p w14:paraId="6120151E"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.080</w:t>
            </w:r>
          </w:p>
        </w:tc>
        <w:tc>
          <w:tcPr>
            <w:tcW w:w="1205" w:type="dxa"/>
            <w:tcBorders>
              <w:top w:val="single" w:sz="4" w:space="0" w:color="auto"/>
            </w:tcBorders>
            <w:shd w:val="clear" w:color="auto" w:fill="auto"/>
            <w:noWrap/>
            <w:hideMark/>
          </w:tcPr>
          <w:p w14:paraId="26D70E45"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.949</w:t>
            </w:r>
          </w:p>
        </w:tc>
        <w:tc>
          <w:tcPr>
            <w:tcW w:w="1219" w:type="dxa"/>
            <w:tcBorders>
              <w:top w:val="single" w:sz="4" w:space="0" w:color="auto"/>
            </w:tcBorders>
            <w:shd w:val="clear" w:color="auto" w:fill="auto"/>
            <w:noWrap/>
            <w:hideMark/>
          </w:tcPr>
          <w:p w14:paraId="234B35E6" w14:textId="0137CA50"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.479</w:t>
            </w:r>
          </w:p>
        </w:tc>
      </w:tr>
      <w:tr w:rsidR="002D4E28" w:rsidRPr="00FD225C" w14:paraId="320B640A" w14:textId="77777777" w:rsidTr="00FD225C">
        <w:trPr>
          <w:trHeight w:val="288"/>
          <w:jc w:val="center"/>
        </w:trPr>
        <w:tc>
          <w:tcPr>
            <w:tcW w:w="387" w:type="dxa"/>
            <w:vMerge/>
            <w:vAlign w:val="center"/>
            <w:hideMark/>
          </w:tcPr>
          <w:p w14:paraId="45F09BD9" w14:textId="77777777" w:rsidR="002D4E28" w:rsidRPr="00FD225C" w:rsidRDefault="002D4E28" w:rsidP="00FD225C">
            <w:pPr>
              <w:spacing w:after="0" w:line="240" w:lineRule="auto"/>
              <w:jc w:val="both"/>
              <w:rPr>
                <w:rFonts w:ascii="Times New Roman" w:eastAsia="Times New Roman" w:hAnsi="Times New Roman" w:cs="Times New Roman"/>
                <w:color w:val="000000"/>
                <w:sz w:val="20"/>
                <w:szCs w:val="20"/>
                <w:lang w:eastAsia="en-MY"/>
              </w:rPr>
            </w:pPr>
          </w:p>
        </w:tc>
        <w:tc>
          <w:tcPr>
            <w:tcW w:w="1696" w:type="dxa"/>
            <w:shd w:val="clear" w:color="auto" w:fill="auto"/>
            <w:hideMark/>
          </w:tcPr>
          <w:p w14:paraId="3A97C01B" w14:textId="77777777" w:rsidR="002D4E28" w:rsidRPr="00FD225C" w:rsidRDefault="002D4E28" w:rsidP="00FD225C">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Residual</w:t>
            </w:r>
          </w:p>
        </w:tc>
        <w:tc>
          <w:tcPr>
            <w:tcW w:w="1265" w:type="dxa"/>
            <w:shd w:val="clear" w:color="auto" w:fill="auto"/>
            <w:noWrap/>
            <w:hideMark/>
          </w:tcPr>
          <w:p w14:paraId="6AB19157"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10.249</w:t>
            </w:r>
          </w:p>
        </w:tc>
        <w:tc>
          <w:tcPr>
            <w:tcW w:w="1195" w:type="dxa"/>
            <w:shd w:val="clear" w:color="auto" w:fill="auto"/>
            <w:noWrap/>
            <w:hideMark/>
          </w:tcPr>
          <w:p w14:paraId="3921A606"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121</w:t>
            </w:r>
          </w:p>
        </w:tc>
        <w:tc>
          <w:tcPr>
            <w:tcW w:w="1247" w:type="dxa"/>
            <w:shd w:val="clear" w:color="auto" w:fill="auto"/>
            <w:noWrap/>
            <w:hideMark/>
          </w:tcPr>
          <w:p w14:paraId="5AEB11D7"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.085</w:t>
            </w:r>
          </w:p>
        </w:tc>
        <w:tc>
          <w:tcPr>
            <w:tcW w:w="1205" w:type="dxa"/>
            <w:shd w:val="clear" w:color="auto" w:fill="auto"/>
            <w:hideMark/>
          </w:tcPr>
          <w:p w14:paraId="071840E5"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 </w:t>
            </w:r>
          </w:p>
        </w:tc>
        <w:tc>
          <w:tcPr>
            <w:tcW w:w="1219" w:type="dxa"/>
            <w:shd w:val="clear" w:color="auto" w:fill="auto"/>
            <w:hideMark/>
          </w:tcPr>
          <w:p w14:paraId="487E5839"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 </w:t>
            </w:r>
          </w:p>
        </w:tc>
      </w:tr>
      <w:tr w:rsidR="002D4E28" w:rsidRPr="00FD225C" w14:paraId="6AA21F28" w14:textId="77777777" w:rsidTr="00FD225C">
        <w:trPr>
          <w:trHeight w:val="288"/>
          <w:jc w:val="center"/>
        </w:trPr>
        <w:tc>
          <w:tcPr>
            <w:tcW w:w="387" w:type="dxa"/>
            <w:vMerge/>
            <w:vAlign w:val="center"/>
            <w:hideMark/>
          </w:tcPr>
          <w:p w14:paraId="7A09AB98" w14:textId="77777777" w:rsidR="002D4E28" w:rsidRPr="00FD225C" w:rsidRDefault="002D4E28" w:rsidP="00FD225C">
            <w:pPr>
              <w:spacing w:after="0" w:line="240" w:lineRule="auto"/>
              <w:jc w:val="both"/>
              <w:rPr>
                <w:rFonts w:ascii="Times New Roman" w:eastAsia="Times New Roman" w:hAnsi="Times New Roman" w:cs="Times New Roman"/>
                <w:color w:val="000000"/>
                <w:sz w:val="20"/>
                <w:szCs w:val="20"/>
                <w:lang w:eastAsia="en-MY"/>
              </w:rPr>
            </w:pPr>
          </w:p>
        </w:tc>
        <w:tc>
          <w:tcPr>
            <w:tcW w:w="1696" w:type="dxa"/>
            <w:shd w:val="clear" w:color="auto" w:fill="auto"/>
            <w:hideMark/>
          </w:tcPr>
          <w:p w14:paraId="6008EFDC" w14:textId="77777777" w:rsidR="002D4E28" w:rsidRPr="00FD225C" w:rsidRDefault="002D4E28" w:rsidP="00FD225C">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Total</w:t>
            </w:r>
          </w:p>
        </w:tc>
        <w:tc>
          <w:tcPr>
            <w:tcW w:w="1265" w:type="dxa"/>
            <w:shd w:val="clear" w:color="auto" w:fill="auto"/>
            <w:noWrap/>
            <w:hideMark/>
          </w:tcPr>
          <w:p w14:paraId="51E6BEAF"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10.892</w:t>
            </w:r>
          </w:p>
        </w:tc>
        <w:tc>
          <w:tcPr>
            <w:tcW w:w="1195" w:type="dxa"/>
            <w:shd w:val="clear" w:color="auto" w:fill="auto"/>
            <w:noWrap/>
            <w:hideMark/>
          </w:tcPr>
          <w:p w14:paraId="1C2E31C4"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129</w:t>
            </w:r>
          </w:p>
        </w:tc>
        <w:tc>
          <w:tcPr>
            <w:tcW w:w="1247" w:type="dxa"/>
            <w:shd w:val="clear" w:color="auto" w:fill="auto"/>
            <w:hideMark/>
          </w:tcPr>
          <w:p w14:paraId="3337FF26"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 </w:t>
            </w:r>
          </w:p>
        </w:tc>
        <w:tc>
          <w:tcPr>
            <w:tcW w:w="1205" w:type="dxa"/>
            <w:shd w:val="clear" w:color="auto" w:fill="auto"/>
            <w:hideMark/>
          </w:tcPr>
          <w:p w14:paraId="06443192"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 </w:t>
            </w:r>
          </w:p>
        </w:tc>
        <w:tc>
          <w:tcPr>
            <w:tcW w:w="1219" w:type="dxa"/>
            <w:shd w:val="clear" w:color="auto" w:fill="auto"/>
            <w:hideMark/>
          </w:tcPr>
          <w:p w14:paraId="012E5C93" w14:textId="77777777" w:rsidR="002D4E28" w:rsidRPr="00FD225C"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FD225C">
              <w:rPr>
                <w:rFonts w:ascii="Times New Roman" w:eastAsia="Times New Roman" w:hAnsi="Times New Roman" w:cs="Times New Roman"/>
                <w:color w:val="000000"/>
                <w:sz w:val="20"/>
                <w:szCs w:val="20"/>
                <w:lang w:eastAsia="en-MY"/>
              </w:rPr>
              <w:t> </w:t>
            </w:r>
          </w:p>
        </w:tc>
      </w:tr>
    </w:tbl>
    <w:p w14:paraId="0F6C32F8" w14:textId="7BE8B467" w:rsidR="002D4E28" w:rsidRPr="00330119" w:rsidRDefault="002D4E28" w:rsidP="00CF29E2">
      <w:pPr>
        <w:pStyle w:val="Caption"/>
        <w:jc w:val="center"/>
        <w:rPr>
          <w:rFonts w:ascii="Times New Roman" w:hAnsi="Times New Roman" w:cs="Times New Roman"/>
          <w:color w:val="auto"/>
          <w:sz w:val="24"/>
          <w:szCs w:val="24"/>
        </w:rPr>
      </w:pPr>
      <w:r w:rsidRPr="00330119">
        <w:rPr>
          <w:rFonts w:ascii="Times New Roman" w:hAnsi="Times New Roman" w:cs="Times New Roman"/>
          <w:color w:val="auto"/>
          <w:sz w:val="24"/>
          <w:szCs w:val="24"/>
        </w:rPr>
        <w:t xml:space="preserve">Table </w:t>
      </w:r>
      <w:r w:rsidR="00330119" w:rsidRPr="00330119">
        <w:rPr>
          <w:rFonts w:ascii="Times New Roman" w:hAnsi="Times New Roman" w:cs="Times New Roman"/>
          <w:color w:val="auto"/>
          <w:sz w:val="24"/>
          <w:szCs w:val="24"/>
        </w:rPr>
        <w:t>4</w:t>
      </w:r>
      <w:r w:rsidRPr="00330119">
        <w:rPr>
          <w:rFonts w:ascii="Times New Roman" w:hAnsi="Times New Roman" w:cs="Times New Roman"/>
          <w:color w:val="auto"/>
          <w:sz w:val="24"/>
          <w:szCs w:val="24"/>
        </w:rPr>
        <w:t xml:space="preserve">: </w:t>
      </w:r>
      <w:r w:rsidR="00330119" w:rsidRPr="00330119">
        <w:rPr>
          <w:rFonts w:ascii="Times New Roman" w:eastAsia="Times New Roman" w:hAnsi="Times New Roman" w:cs="Times New Roman"/>
          <w:bCs/>
          <w:color w:val="000000"/>
          <w:sz w:val="24"/>
          <w:szCs w:val="24"/>
          <w:lang w:eastAsia="en-MY"/>
        </w:rPr>
        <w:t xml:space="preserve">ANOVA </w:t>
      </w:r>
      <w:r w:rsidRPr="00330119">
        <w:rPr>
          <w:rFonts w:ascii="Times New Roman" w:hAnsi="Times New Roman" w:cs="Times New Roman"/>
          <w:color w:val="auto"/>
          <w:sz w:val="24"/>
          <w:szCs w:val="24"/>
        </w:rPr>
        <w:t>of Customer Switching Behaviour</w:t>
      </w:r>
    </w:p>
    <w:p w14:paraId="44EC0BC4" w14:textId="308A3E86" w:rsidR="002D4E28" w:rsidRDefault="00FD225C" w:rsidP="00FD225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4 indicates ANOVA of customer switching behaviour. T</w:t>
      </w:r>
      <w:r w:rsidR="002D4E28" w:rsidRPr="00985BDC">
        <w:rPr>
          <w:rFonts w:ascii="Times New Roman" w:hAnsi="Times New Roman" w:cs="Times New Roman"/>
          <w:sz w:val="24"/>
          <w:szCs w:val="24"/>
        </w:rPr>
        <w:t xml:space="preserve">he p-value is 0.479 which higher </w:t>
      </w:r>
      <w:r w:rsidR="00330119">
        <w:rPr>
          <w:rFonts w:ascii="Times New Roman" w:hAnsi="Times New Roman" w:cs="Times New Roman"/>
          <w:sz w:val="24"/>
          <w:szCs w:val="24"/>
        </w:rPr>
        <w:t>than the alpha value 0.01. ANOVA</w:t>
      </w:r>
      <w:r w:rsidR="002D4E28" w:rsidRPr="00985BDC">
        <w:rPr>
          <w:rFonts w:ascii="Times New Roman" w:hAnsi="Times New Roman" w:cs="Times New Roman"/>
          <w:sz w:val="24"/>
          <w:szCs w:val="24"/>
        </w:rPr>
        <w:t xml:space="preserve"> display the F- statistics figure is 0.949 and it</w:t>
      </w:r>
      <w:r>
        <w:rPr>
          <w:rFonts w:ascii="Times New Roman" w:hAnsi="Times New Roman" w:cs="Times New Roman"/>
          <w:sz w:val="24"/>
          <w:szCs w:val="24"/>
        </w:rPr>
        <w:t xml:space="preserve"> is</w:t>
      </w:r>
      <w:r w:rsidR="002D4E28" w:rsidRPr="00985BDC">
        <w:rPr>
          <w:rFonts w:ascii="Times New Roman" w:hAnsi="Times New Roman" w:cs="Times New Roman"/>
          <w:sz w:val="24"/>
          <w:szCs w:val="24"/>
        </w:rPr>
        <w:t xml:space="preserve"> significant at the level </w:t>
      </w:r>
      <w:r>
        <w:rPr>
          <w:rFonts w:ascii="Times New Roman" w:hAnsi="Times New Roman" w:cs="Times New Roman"/>
          <w:sz w:val="24"/>
          <w:szCs w:val="24"/>
        </w:rPr>
        <w:t xml:space="preserve">in </w:t>
      </w:r>
      <w:r w:rsidR="002D4E28" w:rsidRPr="00985BDC">
        <w:rPr>
          <w:rFonts w:ascii="Times New Roman" w:hAnsi="Times New Roman" w:cs="Times New Roman"/>
          <w:sz w:val="24"/>
          <w:szCs w:val="24"/>
        </w:rPr>
        <w:t xml:space="preserve">which the form of </w:t>
      </w:r>
      <w:r>
        <w:rPr>
          <w:rFonts w:ascii="Times New Roman" w:hAnsi="Times New Roman" w:cs="Times New Roman"/>
          <w:sz w:val="24"/>
          <w:szCs w:val="24"/>
        </w:rPr>
        <w:t xml:space="preserve">the </w:t>
      </w:r>
      <w:r w:rsidR="002D4E28" w:rsidRPr="00985BDC">
        <w:rPr>
          <w:rFonts w:ascii="Times New Roman" w:hAnsi="Times New Roman" w:cs="Times New Roman"/>
          <w:sz w:val="24"/>
          <w:szCs w:val="24"/>
        </w:rPr>
        <w:t>model</w:t>
      </w:r>
      <w:r>
        <w:rPr>
          <w:rFonts w:ascii="Times New Roman" w:hAnsi="Times New Roman" w:cs="Times New Roman"/>
          <w:sz w:val="24"/>
          <w:szCs w:val="24"/>
        </w:rPr>
        <w:t>. Therefore, it</w:t>
      </w:r>
      <w:r w:rsidR="002D4E28" w:rsidRPr="00985BDC">
        <w:rPr>
          <w:rFonts w:ascii="Times New Roman" w:hAnsi="Times New Roman" w:cs="Times New Roman"/>
          <w:sz w:val="24"/>
          <w:szCs w:val="24"/>
        </w:rPr>
        <w:t xml:space="preserve"> is an excellent factors of relationship between the customer switching behaviour.</w:t>
      </w:r>
    </w:p>
    <w:tbl>
      <w:tblPr>
        <w:tblpPr w:leftFromText="180" w:rightFromText="180" w:vertAnchor="text" w:horzAnchor="margin" w:tblpXSpec="center" w:tblpY="16"/>
        <w:tblW w:w="7867" w:type="dxa"/>
        <w:tblBorders>
          <w:top w:val="single" w:sz="4" w:space="0" w:color="auto"/>
          <w:bottom w:val="single" w:sz="4" w:space="0" w:color="auto"/>
        </w:tblBorders>
        <w:tblLook w:val="04A0" w:firstRow="1" w:lastRow="0" w:firstColumn="1" w:lastColumn="0" w:noHBand="0" w:noVBand="1"/>
      </w:tblPr>
      <w:tblGrid>
        <w:gridCol w:w="350"/>
        <w:gridCol w:w="2260"/>
        <w:gridCol w:w="843"/>
        <w:gridCol w:w="1227"/>
        <w:gridCol w:w="1273"/>
        <w:gridCol w:w="967"/>
        <w:gridCol w:w="947"/>
      </w:tblGrid>
      <w:tr w:rsidR="002D4E28" w:rsidRPr="00D02184" w14:paraId="54B771A9" w14:textId="77777777" w:rsidTr="002B7F2B">
        <w:trPr>
          <w:trHeight w:val="288"/>
        </w:trPr>
        <w:tc>
          <w:tcPr>
            <w:tcW w:w="2610" w:type="dxa"/>
            <w:gridSpan w:val="2"/>
            <w:vMerge w:val="restart"/>
            <w:tcBorders>
              <w:top w:val="single" w:sz="4" w:space="0" w:color="auto"/>
              <w:bottom w:val="single" w:sz="4" w:space="0" w:color="auto"/>
            </w:tcBorders>
            <w:shd w:val="clear" w:color="auto" w:fill="auto"/>
            <w:vAlign w:val="center"/>
            <w:hideMark/>
          </w:tcPr>
          <w:p w14:paraId="3A81578F" w14:textId="77777777" w:rsidR="002D4E28" w:rsidRPr="00D02184" w:rsidRDefault="002D4E28" w:rsidP="002B7F2B">
            <w:pPr>
              <w:spacing w:after="0" w:line="240" w:lineRule="auto"/>
              <w:jc w:val="center"/>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Model</w:t>
            </w:r>
          </w:p>
        </w:tc>
        <w:tc>
          <w:tcPr>
            <w:tcW w:w="2070" w:type="dxa"/>
            <w:gridSpan w:val="2"/>
            <w:tcBorders>
              <w:top w:val="single" w:sz="4" w:space="0" w:color="auto"/>
              <w:bottom w:val="single" w:sz="4" w:space="0" w:color="auto"/>
            </w:tcBorders>
            <w:shd w:val="clear" w:color="auto" w:fill="auto"/>
            <w:vAlign w:val="bottom"/>
            <w:hideMark/>
          </w:tcPr>
          <w:p w14:paraId="0F08D1EF" w14:textId="77777777" w:rsidR="002D4E28" w:rsidRPr="00D02184" w:rsidRDefault="002D4E28" w:rsidP="002B7F2B">
            <w:pPr>
              <w:spacing w:after="0" w:line="240" w:lineRule="auto"/>
              <w:jc w:val="center"/>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Unstandardized Coefficients</w:t>
            </w:r>
          </w:p>
        </w:tc>
        <w:tc>
          <w:tcPr>
            <w:tcW w:w="1273" w:type="dxa"/>
            <w:tcBorders>
              <w:top w:val="single" w:sz="4" w:space="0" w:color="auto"/>
              <w:bottom w:val="single" w:sz="4" w:space="0" w:color="auto"/>
            </w:tcBorders>
            <w:shd w:val="clear" w:color="auto" w:fill="auto"/>
            <w:vAlign w:val="bottom"/>
            <w:hideMark/>
          </w:tcPr>
          <w:p w14:paraId="606A6E27" w14:textId="77777777" w:rsidR="002D4E28" w:rsidRPr="00D02184" w:rsidRDefault="002D4E28" w:rsidP="002B7F2B">
            <w:pPr>
              <w:spacing w:after="0" w:line="240" w:lineRule="auto"/>
              <w:jc w:val="center"/>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Standardized Coefficients</w:t>
            </w:r>
          </w:p>
        </w:tc>
        <w:tc>
          <w:tcPr>
            <w:tcW w:w="967" w:type="dxa"/>
            <w:vMerge w:val="restart"/>
            <w:tcBorders>
              <w:top w:val="single" w:sz="4" w:space="0" w:color="auto"/>
              <w:bottom w:val="single" w:sz="4" w:space="0" w:color="auto"/>
            </w:tcBorders>
            <w:shd w:val="clear" w:color="auto" w:fill="auto"/>
            <w:vAlign w:val="bottom"/>
            <w:hideMark/>
          </w:tcPr>
          <w:p w14:paraId="6E10AE13" w14:textId="77777777" w:rsidR="002D4E28" w:rsidRPr="00D02184" w:rsidRDefault="002D4E28" w:rsidP="002B7F2B">
            <w:pPr>
              <w:spacing w:after="0" w:line="240" w:lineRule="auto"/>
              <w:jc w:val="center"/>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t</w:t>
            </w:r>
          </w:p>
        </w:tc>
        <w:tc>
          <w:tcPr>
            <w:tcW w:w="947" w:type="dxa"/>
            <w:vMerge w:val="restart"/>
            <w:tcBorders>
              <w:top w:val="single" w:sz="4" w:space="0" w:color="auto"/>
              <w:bottom w:val="single" w:sz="4" w:space="0" w:color="auto"/>
            </w:tcBorders>
            <w:shd w:val="clear" w:color="auto" w:fill="auto"/>
            <w:vAlign w:val="bottom"/>
            <w:hideMark/>
          </w:tcPr>
          <w:p w14:paraId="10F2FBED" w14:textId="77777777" w:rsidR="002D4E28" w:rsidRPr="00D02184" w:rsidRDefault="002D4E28" w:rsidP="002B7F2B">
            <w:pPr>
              <w:spacing w:after="0" w:line="240" w:lineRule="auto"/>
              <w:jc w:val="center"/>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Sig.</w:t>
            </w:r>
          </w:p>
        </w:tc>
      </w:tr>
      <w:tr w:rsidR="002B7F2B" w:rsidRPr="00D02184" w14:paraId="1F32ED16" w14:textId="77777777" w:rsidTr="002B7F2B">
        <w:trPr>
          <w:trHeight w:val="288"/>
        </w:trPr>
        <w:tc>
          <w:tcPr>
            <w:tcW w:w="2610" w:type="dxa"/>
            <w:gridSpan w:val="2"/>
            <w:vMerge/>
            <w:tcBorders>
              <w:top w:val="single" w:sz="4" w:space="0" w:color="auto"/>
              <w:bottom w:val="single" w:sz="4" w:space="0" w:color="auto"/>
            </w:tcBorders>
            <w:vAlign w:val="center"/>
            <w:hideMark/>
          </w:tcPr>
          <w:p w14:paraId="1C9053F0"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p>
        </w:tc>
        <w:tc>
          <w:tcPr>
            <w:tcW w:w="843" w:type="dxa"/>
            <w:tcBorders>
              <w:top w:val="single" w:sz="4" w:space="0" w:color="auto"/>
              <w:bottom w:val="single" w:sz="4" w:space="0" w:color="auto"/>
            </w:tcBorders>
            <w:shd w:val="clear" w:color="auto" w:fill="auto"/>
            <w:vAlign w:val="bottom"/>
            <w:hideMark/>
          </w:tcPr>
          <w:p w14:paraId="67F0D51C"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B</w:t>
            </w:r>
          </w:p>
        </w:tc>
        <w:tc>
          <w:tcPr>
            <w:tcW w:w="1227" w:type="dxa"/>
            <w:tcBorders>
              <w:top w:val="single" w:sz="4" w:space="0" w:color="auto"/>
              <w:bottom w:val="single" w:sz="4" w:space="0" w:color="auto"/>
            </w:tcBorders>
            <w:shd w:val="clear" w:color="auto" w:fill="auto"/>
            <w:vAlign w:val="bottom"/>
            <w:hideMark/>
          </w:tcPr>
          <w:p w14:paraId="1D2C727C"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Std. Error</w:t>
            </w:r>
          </w:p>
        </w:tc>
        <w:tc>
          <w:tcPr>
            <w:tcW w:w="1273" w:type="dxa"/>
            <w:tcBorders>
              <w:top w:val="single" w:sz="4" w:space="0" w:color="auto"/>
              <w:bottom w:val="single" w:sz="4" w:space="0" w:color="auto"/>
            </w:tcBorders>
            <w:shd w:val="clear" w:color="auto" w:fill="auto"/>
            <w:vAlign w:val="bottom"/>
            <w:hideMark/>
          </w:tcPr>
          <w:p w14:paraId="4D30B452"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Beta</w:t>
            </w:r>
          </w:p>
        </w:tc>
        <w:tc>
          <w:tcPr>
            <w:tcW w:w="967" w:type="dxa"/>
            <w:vMerge/>
            <w:tcBorders>
              <w:top w:val="single" w:sz="4" w:space="0" w:color="auto"/>
              <w:bottom w:val="single" w:sz="4" w:space="0" w:color="auto"/>
            </w:tcBorders>
            <w:vAlign w:val="center"/>
            <w:hideMark/>
          </w:tcPr>
          <w:p w14:paraId="60828D3F" w14:textId="77777777" w:rsidR="002D4E28" w:rsidRPr="00D02184" w:rsidRDefault="002D4E28" w:rsidP="00CF29E2">
            <w:pPr>
              <w:spacing w:after="0" w:line="240" w:lineRule="auto"/>
              <w:jc w:val="center"/>
              <w:rPr>
                <w:rFonts w:ascii="Times New Roman" w:eastAsia="Times New Roman" w:hAnsi="Times New Roman" w:cs="Times New Roman"/>
                <w:color w:val="000000"/>
                <w:sz w:val="20"/>
                <w:szCs w:val="20"/>
                <w:lang w:eastAsia="en-MY"/>
              </w:rPr>
            </w:pPr>
          </w:p>
        </w:tc>
        <w:tc>
          <w:tcPr>
            <w:tcW w:w="947" w:type="dxa"/>
            <w:vMerge/>
            <w:tcBorders>
              <w:top w:val="single" w:sz="4" w:space="0" w:color="auto"/>
              <w:bottom w:val="single" w:sz="4" w:space="0" w:color="auto"/>
            </w:tcBorders>
            <w:vAlign w:val="center"/>
            <w:hideMark/>
          </w:tcPr>
          <w:p w14:paraId="0B719377" w14:textId="77777777" w:rsidR="002D4E28" w:rsidRPr="00D02184" w:rsidRDefault="002D4E28" w:rsidP="00CF29E2">
            <w:pPr>
              <w:spacing w:after="0" w:line="240" w:lineRule="auto"/>
              <w:jc w:val="center"/>
              <w:rPr>
                <w:rFonts w:ascii="Times New Roman" w:eastAsia="Times New Roman" w:hAnsi="Times New Roman" w:cs="Times New Roman"/>
                <w:color w:val="000000"/>
                <w:sz w:val="20"/>
                <w:szCs w:val="20"/>
                <w:lang w:eastAsia="en-MY"/>
              </w:rPr>
            </w:pPr>
          </w:p>
        </w:tc>
      </w:tr>
      <w:tr w:rsidR="002B7F2B" w:rsidRPr="00D02184" w14:paraId="72A0D067" w14:textId="77777777" w:rsidTr="002B7F2B">
        <w:trPr>
          <w:trHeight w:val="288"/>
        </w:trPr>
        <w:tc>
          <w:tcPr>
            <w:tcW w:w="350" w:type="dxa"/>
            <w:vMerge w:val="restart"/>
            <w:tcBorders>
              <w:top w:val="single" w:sz="4" w:space="0" w:color="auto"/>
            </w:tcBorders>
            <w:shd w:val="clear" w:color="auto" w:fill="auto"/>
            <w:noWrap/>
            <w:hideMark/>
          </w:tcPr>
          <w:p w14:paraId="7FBE28F3" w14:textId="219FBBC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p>
        </w:tc>
        <w:tc>
          <w:tcPr>
            <w:tcW w:w="2260" w:type="dxa"/>
            <w:tcBorders>
              <w:top w:val="single" w:sz="4" w:space="0" w:color="auto"/>
            </w:tcBorders>
            <w:shd w:val="clear" w:color="auto" w:fill="auto"/>
            <w:hideMark/>
          </w:tcPr>
          <w:p w14:paraId="3D35E8D0"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(Constant)</w:t>
            </w:r>
          </w:p>
        </w:tc>
        <w:tc>
          <w:tcPr>
            <w:tcW w:w="843" w:type="dxa"/>
            <w:tcBorders>
              <w:top w:val="single" w:sz="4" w:space="0" w:color="auto"/>
            </w:tcBorders>
            <w:shd w:val="clear" w:color="auto" w:fill="auto"/>
            <w:noWrap/>
            <w:hideMark/>
          </w:tcPr>
          <w:p w14:paraId="58315B30"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1.949</w:t>
            </w:r>
          </w:p>
        </w:tc>
        <w:tc>
          <w:tcPr>
            <w:tcW w:w="1227" w:type="dxa"/>
            <w:tcBorders>
              <w:top w:val="single" w:sz="4" w:space="0" w:color="auto"/>
            </w:tcBorders>
            <w:shd w:val="clear" w:color="auto" w:fill="auto"/>
            <w:noWrap/>
            <w:hideMark/>
          </w:tcPr>
          <w:p w14:paraId="7884224A"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.156</w:t>
            </w:r>
          </w:p>
        </w:tc>
        <w:tc>
          <w:tcPr>
            <w:tcW w:w="1273" w:type="dxa"/>
            <w:tcBorders>
              <w:top w:val="single" w:sz="4" w:space="0" w:color="auto"/>
            </w:tcBorders>
            <w:shd w:val="clear" w:color="auto" w:fill="auto"/>
            <w:hideMark/>
          </w:tcPr>
          <w:p w14:paraId="002479A2"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 </w:t>
            </w:r>
          </w:p>
        </w:tc>
        <w:tc>
          <w:tcPr>
            <w:tcW w:w="967" w:type="dxa"/>
            <w:tcBorders>
              <w:top w:val="single" w:sz="4" w:space="0" w:color="auto"/>
            </w:tcBorders>
            <w:shd w:val="clear" w:color="auto" w:fill="auto"/>
            <w:noWrap/>
            <w:hideMark/>
          </w:tcPr>
          <w:p w14:paraId="125ADC00"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12.499</w:t>
            </w:r>
          </w:p>
        </w:tc>
        <w:tc>
          <w:tcPr>
            <w:tcW w:w="947" w:type="dxa"/>
            <w:tcBorders>
              <w:top w:val="single" w:sz="4" w:space="0" w:color="auto"/>
            </w:tcBorders>
            <w:shd w:val="clear" w:color="auto" w:fill="auto"/>
            <w:noWrap/>
            <w:hideMark/>
          </w:tcPr>
          <w:p w14:paraId="42B69C8E"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.000</w:t>
            </w:r>
          </w:p>
        </w:tc>
      </w:tr>
      <w:tr w:rsidR="002D4E28" w:rsidRPr="00D02184" w14:paraId="46AA47D3" w14:textId="77777777" w:rsidTr="002B7F2B">
        <w:trPr>
          <w:trHeight w:val="288"/>
        </w:trPr>
        <w:tc>
          <w:tcPr>
            <w:tcW w:w="350" w:type="dxa"/>
            <w:vMerge/>
            <w:vAlign w:val="center"/>
            <w:hideMark/>
          </w:tcPr>
          <w:p w14:paraId="1E67E326"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p>
        </w:tc>
        <w:tc>
          <w:tcPr>
            <w:tcW w:w="2260" w:type="dxa"/>
            <w:shd w:val="clear" w:color="auto" w:fill="auto"/>
            <w:hideMark/>
          </w:tcPr>
          <w:p w14:paraId="1281F9A8"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Average Price</w:t>
            </w:r>
          </w:p>
        </w:tc>
        <w:tc>
          <w:tcPr>
            <w:tcW w:w="843" w:type="dxa"/>
            <w:shd w:val="clear" w:color="auto" w:fill="auto"/>
            <w:noWrap/>
            <w:hideMark/>
          </w:tcPr>
          <w:p w14:paraId="1F535522"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-.074</w:t>
            </w:r>
          </w:p>
        </w:tc>
        <w:tc>
          <w:tcPr>
            <w:tcW w:w="1227" w:type="dxa"/>
            <w:shd w:val="clear" w:color="auto" w:fill="auto"/>
            <w:noWrap/>
            <w:hideMark/>
          </w:tcPr>
          <w:p w14:paraId="5AF5CE8B"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.041</w:t>
            </w:r>
          </w:p>
        </w:tc>
        <w:tc>
          <w:tcPr>
            <w:tcW w:w="1273" w:type="dxa"/>
            <w:shd w:val="clear" w:color="auto" w:fill="auto"/>
            <w:noWrap/>
            <w:hideMark/>
          </w:tcPr>
          <w:p w14:paraId="2301987E"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-.196</w:t>
            </w:r>
          </w:p>
        </w:tc>
        <w:tc>
          <w:tcPr>
            <w:tcW w:w="967" w:type="dxa"/>
            <w:shd w:val="clear" w:color="auto" w:fill="auto"/>
            <w:noWrap/>
            <w:hideMark/>
          </w:tcPr>
          <w:p w14:paraId="0F43E621"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-1.825</w:t>
            </w:r>
          </w:p>
        </w:tc>
        <w:tc>
          <w:tcPr>
            <w:tcW w:w="947" w:type="dxa"/>
            <w:shd w:val="clear" w:color="auto" w:fill="auto"/>
            <w:noWrap/>
            <w:hideMark/>
          </w:tcPr>
          <w:p w14:paraId="3AE036FC"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.071</w:t>
            </w:r>
          </w:p>
        </w:tc>
      </w:tr>
      <w:tr w:rsidR="002D4E28" w:rsidRPr="00D02184" w14:paraId="74E1C48A" w14:textId="77777777" w:rsidTr="002B7F2B">
        <w:trPr>
          <w:trHeight w:val="288"/>
        </w:trPr>
        <w:tc>
          <w:tcPr>
            <w:tcW w:w="350" w:type="dxa"/>
            <w:vMerge/>
            <w:vAlign w:val="center"/>
            <w:hideMark/>
          </w:tcPr>
          <w:p w14:paraId="0D92412C"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p>
        </w:tc>
        <w:tc>
          <w:tcPr>
            <w:tcW w:w="2260" w:type="dxa"/>
            <w:shd w:val="clear" w:color="auto" w:fill="auto"/>
            <w:hideMark/>
          </w:tcPr>
          <w:p w14:paraId="3EDAEE74"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Average Reputation</w:t>
            </w:r>
          </w:p>
        </w:tc>
        <w:tc>
          <w:tcPr>
            <w:tcW w:w="843" w:type="dxa"/>
            <w:shd w:val="clear" w:color="auto" w:fill="auto"/>
            <w:noWrap/>
            <w:hideMark/>
          </w:tcPr>
          <w:p w14:paraId="6FFABE31"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.070</w:t>
            </w:r>
          </w:p>
        </w:tc>
        <w:tc>
          <w:tcPr>
            <w:tcW w:w="1227" w:type="dxa"/>
            <w:shd w:val="clear" w:color="auto" w:fill="auto"/>
            <w:noWrap/>
            <w:hideMark/>
          </w:tcPr>
          <w:p w14:paraId="015F46C8"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.048</w:t>
            </w:r>
          </w:p>
        </w:tc>
        <w:tc>
          <w:tcPr>
            <w:tcW w:w="1273" w:type="dxa"/>
            <w:shd w:val="clear" w:color="auto" w:fill="auto"/>
            <w:noWrap/>
            <w:hideMark/>
          </w:tcPr>
          <w:p w14:paraId="3F2B0634"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.209</w:t>
            </w:r>
          </w:p>
        </w:tc>
        <w:tc>
          <w:tcPr>
            <w:tcW w:w="967" w:type="dxa"/>
            <w:shd w:val="clear" w:color="auto" w:fill="auto"/>
            <w:noWrap/>
            <w:hideMark/>
          </w:tcPr>
          <w:p w14:paraId="7099BE6C"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1.459</w:t>
            </w:r>
          </w:p>
        </w:tc>
        <w:tc>
          <w:tcPr>
            <w:tcW w:w="947" w:type="dxa"/>
            <w:shd w:val="clear" w:color="auto" w:fill="auto"/>
            <w:noWrap/>
            <w:hideMark/>
          </w:tcPr>
          <w:p w14:paraId="552B301E"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.147</w:t>
            </w:r>
          </w:p>
        </w:tc>
      </w:tr>
      <w:tr w:rsidR="002D4E28" w:rsidRPr="00D02184" w14:paraId="3FF896CA" w14:textId="77777777" w:rsidTr="002B7F2B">
        <w:trPr>
          <w:trHeight w:val="288"/>
        </w:trPr>
        <w:tc>
          <w:tcPr>
            <w:tcW w:w="350" w:type="dxa"/>
            <w:vMerge/>
            <w:vAlign w:val="center"/>
            <w:hideMark/>
          </w:tcPr>
          <w:p w14:paraId="143DD394"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p>
        </w:tc>
        <w:tc>
          <w:tcPr>
            <w:tcW w:w="2260" w:type="dxa"/>
            <w:shd w:val="clear" w:color="auto" w:fill="auto"/>
            <w:hideMark/>
          </w:tcPr>
          <w:p w14:paraId="22EA888B"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Average Service Quality</w:t>
            </w:r>
          </w:p>
        </w:tc>
        <w:tc>
          <w:tcPr>
            <w:tcW w:w="843" w:type="dxa"/>
            <w:shd w:val="clear" w:color="auto" w:fill="auto"/>
            <w:noWrap/>
            <w:hideMark/>
          </w:tcPr>
          <w:p w14:paraId="1A8503AE"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.022</w:t>
            </w:r>
          </w:p>
        </w:tc>
        <w:tc>
          <w:tcPr>
            <w:tcW w:w="1227" w:type="dxa"/>
            <w:shd w:val="clear" w:color="auto" w:fill="auto"/>
            <w:noWrap/>
            <w:hideMark/>
          </w:tcPr>
          <w:p w14:paraId="7BEAF31D"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.043</w:t>
            </w:r>
          </w:p>
        </w:tc>
        <w:tc>
          <w:tcPr>
            <w:tcW w:w="1273" w:type="dxa"/>
            <w:shd w:val="clear" w:color="auto" w:fill="auto"/>
            <w:noWrap/>
            <w:hideMark/>
          </w:tcPr>
          <w:p w14:paraId="7F7D959E"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.067</w:t>
            </w:r>
          </w:p>
        </w:tc>
        <w:tc>
          <w:tcPr>
            <w:tcW w:w="967" w:type="dxa"/>
            <w:shd w:val="clear" w:color="auto" w:fill="auto"/>
            <w:noWrap/>
            <w:hideMark/>
          </w:tcPr>
          <w:p w14:paraId="0FE1D8CB"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.511</w:t>
            </w:r>
          </w:p>
        </w:tc>
        <w:tc>
          <w:tcPr>
            <w:tcW w:w="947" w:type="dxa"/>
            <w:shd w:val="clear" w:color="auto" w:fill="auto"/>
            <w:noWrap/>
            <w:hideMark/>
          </w:tcPr>
          <w:p w14:paraId="6646AA1A"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.610</w:t>
            </w:r>
          </w:p>
        </w:tc>
      </w:tr>
      <w:tr w:rsidR="002D4E28" w:rsidRPr="00D02184" w14:paraId="6FF04B4F" w14:textId="77777777" w:rsidTr="002B7F2B">
        <w:trPr>
          <w:trHeight w:val="288"/>
        </w:trPr>
        <w:tc>
          <w:tcPr>
            <w:tcW w:w="350" w:type="dxa"/>
            <w:vMerge/>
            <w:vAlign w:val="center"/>
            <w:hideMark/>
          </w:tcPr>
          <w:p w14:paraId="3EBD9A13"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p>
        </w:tc>
        <w:tc>
          <w:tcPr>
            <w:tcW w:w="2260" w:type="dxa"/>
            <w:shd w:val="clear" w:color="auto" w:fill="auto"/>
            <w:hideMark/>
          </w:tcPr>
          <w:p w14:paraId="0ACCAAD0"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Average Advertising</w:t>
            </w:r>
          </w:p>
        </w:tc>
        <w:tc>
          <w:tcPr>
            <w:tcW w:w="843" w:type="dxa"/>
            <w:shd w:val="clear" w:color="auto" w:fill="auto"/>
            <w:noWrap/>
            <w:hideMark/>
          </w:tcPr>
          <w:p w14:paraId="68C1B438"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-.018</w:t>
            </w:r>
          </w:p>
        </w:tc>
        <w:tc>
          <w:tcPr>
            <w:tcW w:w="1227" w:type="dxa"/>
            <w:shd w:val="clear" w:color="auto" w:fill="auto"/>
            <w:noWrap/>
            <w:hideMark/>
          </w:tcPr>
          <w:p w14:paraId="6A2BAD32"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.043</w:t>
            </w:r>
          </w:p>
        </w:tc>
        <w:tc>
          <w:tcPr>
            <w:tcW w:w="1273" w:type="dxa"/>
            <w:shd w:val="clear" w:color="auto" w:fill="auto"/>
            <w:noWrap/>
            <w:hideMark/>
          </w:tcPr>
          <w:p w14:paraId="28A043BD"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-.048</w:t>
            </w:r>
          </w:p>
        </w:tc>
        <w:tc>
          <w:tcPr>
            <w:tcW w:w="967" w:type="dxa"/>
            <w:shd w:val="clear" w:color="auto" w:fill="auto"/>
            <w:noWrap/>
            <w:hideMark/>
          </w:tcPr>
          <w:p w14:paraId="275364B5"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-.407</w:t>
            </w:r>
          </w:p>
        </w:tc>
        <w:tc>
          <w:tcPr>
            <w:tcW w:w="947" w:type="dxa"/>
            <w:shd w:val="clear" w:color="auto" w:fill="auto"/>
            <w:noWrap/>
            <w:hideMark/>
          </w:tcPr>
          <w:p w14:paraId="454B2C53"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.685</w:t>
            </w:r>
          </w:p>
        </w:tc>
      </w:tr>
      <w:tr w:rsidR="002D4E28" w:rsidRPr="00D02184" w14:paraId="2F33F429" w14:textId="77777777" w:rsidTr="002B7F2B">
        <w:trPr>
          <w:trHeight w:val="288"/>
        </w:trPr>
        <w:tc>
          <w:tcPr>
            <w:tcW w:w="350" w:type="dxa"/>
            <w:vMerge/>
            <w:vAlign w:val="center"/>
            <w:hideMark/>
          </w:tcPr>
          <w:p w14:paraId="708609C3"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p>
        </w:tc>
        <w:tc>
          <w:tcPr>
            <w:tcW w:w="2260" w:type="dxa"/>
            <w:shd w:val="clear" w:color="auto" w:fill="auto"/>
            <w:hideMark/>
          </w:tcPr>
          <w:p w14:paraId="6131659D"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Average Involuntary</w:t>
            </w:r>
          </w:p>
        </w:tc>
        <w:tc>
          <w:tcPr>
            <w:tcW w:w="843" w:type="dxa"/>
            <w:shd w:val="clear" w:color="auto" w:fill="auto"/>
            <w:noWrap/>
            <w:hideMark/>
          </w:tcPr>
          <w:p w14:paraId="3F1427E7"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-.030</w:t>
            </w:r>
          </w:p>
        </w:tc>
        <w:tc>
          <w:tcPr>
            <w:tcW w:w="1227" w:type="dxa"/>
            <w:shd w:val="clear" w:color="auto" w:fill="auto"/>
            <w:noWrap/>
            <w:hideMark/>
          </w:tcPr>
          <w:p w14:paraId="034BAA07"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.038</w:t>
            </w:r>
          </w:p>
        </w:tc>
        <w:tc>
          <w:tcPr>
            <w:tcW w:w="1273" w:type="dxa"/>
            <w:shd w:val="clear" w:color="auto" w:fill="auto"/>
            <w:noWrap/>
            <w:hideMark/>
          </w:tcPr>
          <w:p w14:paraId="08C6919C"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-.085</w:t>
            </w:r>
          </w:p>
        </w:tc>
        <w:tc>
          <w:tcPr>
            <w:tcW w:w="967" w:type="dxa"/>
            <w:shd w:val="clear" w:color="auto" w:fill="auto"/>
            <w:noWrap/>
            <w:hideMark/>
          </w:tcPr>
          <w:p w14:paraId="44CCB097"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-.788</w:t>
            </w:r>
          </w:p>
        </w:tc>
        <w:tc>
          <w:tcPr>
            <w:tcW w:w="947" w:type="dxa"/>
            <w:shd w:val="clear" w:color="auto" w:fill="auto"/>
            <w:noWrap/>
            <w:hideMark/>
          </w:tcPr>
          <w:p w14:paraId="7B9F740C"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.432</w:t>
            </w:r>
          </w:p>
        </w:tc>
      </w:tr>
      <w:tr w:rsidR="002D4E28" w:rsidRPr="00D02184" w14:paraId="7005D804" w14:textId="77777777" w:rsidTr="002B7F2B">
        <w:trPr>
          <w:trHeight w:val="288"/>
        </w:trPr>
        <w:tc>
          <w:tcPr>
            <w:tcW w:w="350" w:type="dxa"/>
            <w:vMerge/>
            <w:vAlign w:val="center"/>
            <w:hideMark/>
          </w:tcPr>
          <w:p w14:paraId="772A8FD9"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p>
        </w:tc>
        <w:tc>
          <w:tcPr>
            <w:tcW w:w="2260" w:type="dxa"/>
            <w:shd w:val="clear" w:color="auto" w:fill="auto"/>
            <w:hideMark/>
          </w:tcPr>
          <w:p w14:paraId="36DD788F"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Average Distance</w:t>
            </w:r>
          </w:p>
        </w:tc>
        <w:tc>
          <w:tcPr>
            <w:tcW w:w="843" w:type="dxa"/>
            <w:shd w:val="clear" w:color="auto" w:fill="auto"/>
            <w:noWrap/>
            <w:hideMark/>
          </w:tcPr>
          <w:p w14:paraId="6966E22F"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-.018</w:t>
            </w:r>
          </w:p>
        </w:tc>
        <w:tc>
          <w:tcPr>
            <w:tcW w:w="1227" w:type="dxa"/>
            <w:shd w:val="clear" w:color="auto" w:fill="auto"/>
            <w:noWrap/>
            <w:hideMark/>
          </w:tcPr>
          <w:p w14:paraId="2B0015EB"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.045</w:t>
            </w:r>
          </w:p>
        </w:tc>
        <w:tc>
          <w:tcPr>
            <w:tcW w:w="1273" w:type="dxa"/>
            <w:shd w:val="clear" w:color="auto" w:fill="auto"/>
            <w:noWrap/>
            <w:hideMark/>
          </w:tcPr>
          <w:p w14:paraId="3D55A0FA"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-.056</w:t>
            </w:r>
          </w:p>
        </w:tc>
        <w:tc>
          <w:tcPr>
            <w:tcW w:w="967" w:type="dxa"/>
            <w:shd w:val="clear" w:color="auto" w:fill="auto"/>
            <w:noWrap/>
            <w:hideMark/>
          </w:tcPr>
          <w:p w14:paraId="190D7109"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-.402</w:t>
            </w:r>
          </w:p>
        </w:tc>
        <w:tc>
          <w:tcPr>
            <w:tcW w:w="947" w:type="dxa"/>
            <w:shd w:val="clear" w:color="auto" w:fill="auto"/>
            <w:noWrap/>
            <w:hideMark/>
          </w:tcPr>
          <w:p w14:paraId="33B6346C"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.688</w:t>
            </w:r>
          </w:p>
        </w:tc>
      </w:tr>
      <w:tr w:rsidR="002D4E28" w:rsidRPr="00D02184" w14:paraId="57874835" w14:textId="77777777" w:rsidTr="002B7F2B">
        <w:trPr>
          <w:trHeight w:val="288"/>
        </w:trPr>
        <w:tc>
          <w:tcPr>
            <w:tcW w:w="350" w:type="dxa"/>
            <w:vMerge/>
            <w:vAlign w:val="center"/>
            <w:hideMark/>
          </w:tcPr>
          <w:p w14:paraId="2B3D07EB"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p>
        </w:tc>
        <w:tc>
          <w:tcPr>
            <w:tcW w:w="2260" w:type="dxa"/>
            <w:shd w:val="clear" w:color="auto" w:fill="auto"/>
            <w:hideMark/>
          </w:tcPr>
          <w:p w14:paraId="5F657C97"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Average Switch Cost</w:t>
            </w:r>
          </w:p>
        </w:tc>
        <w:tc>
          <w:tcPr>
            <w:tcW w:w="843" w:type="dxa"/>
            <w:shd w:val="clear" w:color="auto" w:fill="auto"/>
            <w:noWrap/>
            <w:hideMark/>
          </w:tcPr>
          <w:p w14:paraId="53698BDD"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.038</w:t>
            </w:r>
          </w:p>
        </w:tc>
        <w:tc>
          <w:tcPr>
            <w:tcW w:w="1227" w:type="dxa"/>
            <w:shd w:val="clear" w:color="auto" w:fill="auto"/>
            <w:noWrap/>
            <w:hideMark/>
          </w:tcPr>
          <w:p w14:paraId="1327836A"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.037</w:t>
            </w:r>
          </w:p>
        </w:tc>
        <w:tc>
          <w:tcPr>
            <w:tcW w:w="1273" w:type="dxa"/>
            <w:shd w:val="clear" w:color="auto" w:fill="auto"/>
            <w:noWrap/>
            <w:hideMark/>
          </w:tcPr>
          <w:p w14:paraId="6DE94316"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.105</w:t>
            </w:r>
          </w:p>
        </w:tc>
        <w:tc>
          <w:tcPr>
            <w:tcW w:w="967" w:type="dxa"/>
            <w:shd w:val="clear" w:color="auto" w:fill="auto"/>
            <w:noWrap/>
            <w:hideMark/>
          </w:tcPr>
          <w:p w14:paraId="28BF8B12"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1.033</w:t>
            </w:r>
          </w:p>
        </w:tc>
        <w:tc>
          <w:tcPr>
            <w:tcW w:w="947" w:type="dxa"/>
            <w:shd w:val="clear" w:color="auto" w:fill="auto"/>
            <w:noWrap/>
            <w:hideMark/>
          </w:tcPr>
          <w:p w14:paraId="5746F08D"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.304</w:t>
            </w:r>
          </w:p>
        </w:tc>
      </w:tr>
      <w:tr w:rsidR="002D4E28" w:rsidRPr="00D02184" w14:paraId="732E788B" w14:textId="77777777" w:rsidTr="002B7F2B">
        <w:trPr>
          <w:trHeight w:val="288"/>
        </w:trPr>
        <w:tc>
          <w:tcPr>
            <w:tcW w:w="350" w:type="dxa"/>
            <w:vMerge/>
            <w:vAlign w:val="center"/>
            <w:hideMark/>
          </w:tcPr>
          <w:p w14:paraId="7BEA042C"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p>
        </w:tc>
        <w:tc>
          <w:tcPr>
            <w:tcW w:w="2260" w:type="dxa"/>
            <w:shd w:val="clear" w:color="auto" w:fill="auto"/>
            <w:hideMark/>
          </w:tcPr>
          <w:p w14:paraId="5BAF13E7" w14:textId="77777777" w:rsidR="002D4E28" w:rsidRPr="00D02184" w:rsidRDefault="002D4E28" w:rsidP="002B7F2B">
            <w:pPr>
              <w:spacing w:after="0" w:line="240" w:lineRule="auto"/>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Average Religious Belief</w:t>
            </w:r>
          </w:p>
        </w:tc>
        <w:tc>
          <w:tcPr>
            <w:tcW w:w="843" w:type="dxa"/>
            <w:shd w:val="clear" w:color="auto" w:fill="auto"/>
            <w:noWrap/>
            <w:hideMark/>
          </w:tcPr>
          <w:p w14:paraId="669B71F0"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-.012</w:t>
            </w:r>
          </w:p>
        </w:tc>
        <w:tc>
          <w:tcPr>
            <w:tcW w:w="1227" w:type="dxa"/>
            <w:shd w:val="clear" w:color="auto" w:fill="auto"/>
            <w:noWrap/>
            <w:hideMark/>
          </w:tcPr>
          <w:p w14:paraId="746EE90A"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.038</w:t>
            </w:r>
          </w:p>
        </w:tc>
        <w:tc>
          <w:tcPr>
            <w:tcW w:w="1273" w:type="dxa"/>
            <w:shd w:val="clear" w:color="auto" w:fill="auto"/>
            <w:noWrap/>
            <w:hideMark/>
          </w:tcPr>
          <w:p w14:paraId="5DEF1134"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-.039</w:t>
            </w:r>
          </w:p>
        </w:tc>
        <w:tc>
          <w:tcPr>
            <w:tcW w:w="967" w:type="dxa"/>
            <w:shd w:val="clear" w:color="auto" w:fill="auto"/>
            <w:noWrap/>
            <w:hideMark/>
          </w:tcPr>
          <w:p w14:paraId="3773D960"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-.314</w:t>
            </w:r>
          </w:p>
        </w:tc>
        <w:tc>
          <w:tcPr>
            <w:tcW w:w="947" w:type="dxa"/>
            <w:shd w:val="clear" w:color="auto" w:fill="auto"/>
            <w:noWrap/>
            <w:hideMark/>
          </w:tcPr>
          <w:p w14:paraId="7266F769" w14:textId="77777777" w:rsidR="002D4E28" w:rsidRPr="00D02184" w:rsidRDefault="002D4E28" w:rsidP="00CF29E2">
            <w:pPr>
              <w:spacing w:after="0" w:line="240" w:lineRule="auto"/>
              <w:jc w:val="both"/>
              <w:rPr>
                <w:rFonts w:ascii="Times New Roman" w:eastAsia="Times New Roman" w:hAnsi="Times New Roman" w:cs="Times New Roman"/>
                <w:color w:val="000000"/>
                <w:sz w:val="20"/>
                <w:szCs w:val="20"/>
                <w:lang w:eastAsia="en-MY"/>
              </w:rPr>
            </w:pPr>
            <w:r w:rsidRPr="00D02184">
              <w:rPr>
                <w:rFonts w:ascii="Times New Roman" w:eastAsia="Times New Roman" w:hAnsi="Times New Roman" w:cs="Times New Roman"/>
                <w:color w:val="000000"/>
                <w:sz w:val="20"/>
                <w:szCs w:val="20"/>
                <w:lang w:eastAsia="en-MY"/>
              </w:rPr>
              <w:t>.754</w:t>
            </w:r>
          </w:p>
        </w:tc>
      </w:tr>
    </w:tbl>
    <w:p w14:paraId="10BC6559" w14:textId="00AAF8C1" w:rsidR="002D4E28" w:rsidRPr="00D02184" w:rsidRDefault="002D4E28" w:rsidP="00CF29E2">
      <w:pPr>
        <w:pStyle w:val="Caption"/>
        <w:jc w:val="center"/>
        <w:rPr>
          <w:rFonts w:ascii="Times New Roman" w:hAnsi="Times New Roman" w:cs="Times New Roman"/>
          <w:color w:val="auto"/>
          <w:sz w:val="24"/>
          <w:szCs w:val="24"/>
        </w:rPr>
      </w:pPr>
      <w:r w:rsidRPr="00D02184">
        <w:rPr>
          <w:rFonts w:ascii="Times New Roman" w:hAnsi="Times New Roman" w:cs="Times New Roman"/>
          <w:color w:val="auto"/>
          <w:sz w:val="24"/>
          <w:szCs w:val="24"/>
        </w:rPr>
        <w:t xml:space="preserve">Table </w:t>
      </w:r>
      <w:r w:rsidR="00D02184" w:rsidRPr="00D02184">
        <w:rPr>
          <w:rFonts w:ascii="Times New Roman" w:hAnsi="Times New Roman" w:cs="Times New Roman"/>
          <w:color w:val="auto"/>
          <w:sz w:val="24"/>
          <w:szCs w:val="24"/>
        </w:rPr>
        <w:t>5</w:t>
      </w:r>
      <w:r w:rsidRPr="00D02184">
        <w:rPr>
          <w:rFonts w:ascii="Times New Roman" w:hAnsi="Times New Roman" w:cs="Times New Roman"/>
          <w:color w:val="auto"/>
          <w:sz w:val="24"/>
          <w:szCs w:val="24"/>
        </w:rPr>
        <w:t>: The Coefficients of Customer Switching Behaviour</w:t>
      </w:r>
    </w:p>
    <w:p w14:paraId="2688BD5B" w14:textId="69A1098F" w:rsidR="002D4E28" w:rsidRPr="00985BDC" w:rsidRDefault="003C57D6" w:rsidP="002B7F2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02184">
        <w:rPr>
          <w:rFonts w:ascii="Times New Roman" w:hAnsi="Times New Roman" w:cs="Times New Roman"/>
          <w:sz w:val="24"/>
          <w:szCs w:val="24"/>
        </w:rPr>
        <w:t>able 5</w:t>
      </w:r>
      <w:r>
        <w:rPr>
          <w:rFonts w:ascii="Times New Roman" w:hAnsi="Times New Roman" w:cs="Times New Roman"/>
          <w:sz w:val="24"/>
          <w:szCs w:val="24"/>
        </w:rPr>
        <w:t xml:space="preserve"> </w:t>
      </w:r>
      <w:r w:rsidR="002D4E28" w:rsidRPr="00985BDC">
        <w:rPr>
          <w:rFonts w:ascii="Times New Roman" w:hAnsi="Times New Roman" w:cs="Times New Roman"/>
          <w:sz w:val="24"/>
          <w:szCs w:val="24"/>
        </w:rPr>
        <w:t>shows the coefficient data that the top contribution to the variation of the dependent proxy’s customer switching is reputation with 0.209 beta value. It is also the greatest value from the result. The data keyed in for this variable is 1 for yes, have switch account while 2 is for no, have not switch account. Based on the result, it indicates that reputation is the most influenced that contribution to the customers switching between Tabung Haji and ASNB.</w:t>
      </w:r>
    </w:p>
    <w:p w14:paraId="66D52479" w14:textId="77777777" w:rsidR="002D4E28" w:rsidRPr="00985BDC" w:rsidRDefault="002D4E28" w:rsidP="002B7F2B">
      <w:pPr>
        <w:spacing w:line="240" w:lineRule="auto"/>
        <w:ind w:firstLine="720"/>
        <w:jc w:val="both"/>
        <w:rPr>
          <w:rFonts w:ascii="Times New Roman" w:hAnsi="Times New Roman" w:cs="Times New Roman"/>
          <w:sz w:val="24"/>
          <w:szCs w:val="24"/>
        </w:rPr>
      </w:pPr>
      <w:r w:rsidRPr="00985BDC">
        <w:rPr>
          <w:rFonts w:ascii="Times New Roman" w:hAnsi="Times New Roman" w:cs="Times New Roman"/>
          <w:sz w:val="24"/>
          <w:szCs w:val="24"/>
        </w:rPr>
        <w:t xml:space="preserve">Second leading determinant that contribution most to the customer switching is switching cost with 0.105 beta value. Third highest beta value is service quality which is 0.067 </w:t>
      </w:r>
      <w:r w:rsidRPr="00985BDC">
        <w:rPr>
          <w:rFonts w:ascii="Times New Roman" w:hAnsi="Times New Roman" w:cs="Times New Roman"/>
          <w:sz w:val="24"/>
          <w:szCs w:val="24"/>
        </w:rPr>
        <w:lastRenderedPageBreak/>
        <w:t>that add value to the customer switching behaviour between both accounts. Next value of beta is – 0.039 belong to the variable of religious belief that influence the customer switching behaviour. Next high value of beta is -0.048 which is the advertising variable that give effect to the customer switching behaviour between the investment bank. Factor of distance and involuntary switching with value beta of -0.056 and -0.085 respectively that contribute to the customer switching behaviour.</w:t>
      </w:r>
    </w:p>
    <w:p w14:paraId="0CC438F3" w14:textId="609149F2" w:rsidR="002D4E28" w:rsidRPr="00985BDC" w:rsidRDefault="002D4E28" w:rsidP="002B7F2B">
      <w:pPr>
        <w:spacing w:line="240" w:lineRule="auto"/>
        <w:ind w:firstLine="720"/>
        <w:jc w:val="both"/>
        <w:rPr>
          <w:rFonts w:ascii="Times New Roman" w:hAnsi="Times New Roman" w:cs="Times New Roman"/>
          <w:sz w:val="24"/>
          <w:szCs w:val="24"/>
        </w:rPr>
      </w:pPr>
      <w:r w:rsidRPr="00985BDC">
        <w:rPr>
          <w:rFonts w:ascii="Times New Roman" w:hAnsi="Times New Roman" w:cs="Times New Roman"/>
          <w:sz w:val="24"/>
          <w:szCs w:val="24"/>
        </w:rPr>
        <w:t>The weakest determinant of all independent variables is pricing with -0.196 beta value. It shows the lowest value from the result. It indicates that the pricing is the least factor that affect the customers to switch account between Tabung Haji and ASNB.</w:t>
      </w:r>
    </w:p>
    <w:p w14:paraId="5EC98D0E" w14:textId="6784F049" w:rsidR="002D4E28" w:rsidRPr="00330119" w:rsidRDefault="002D4E28" w:rsidP="00CF29E2">
      <w:pPr>
        <w:pStyle w:val="Heading2"/>
        <w:jc w:val="both"/>
        <w:rPr>
          <w:i/>
          <w:sz w:val="24"/>
          <w:szCs w:val="24"/>
        </w:rPr>
      </w:pPr>
      <w:bookmarkStart w:id="10" w:name="_Toc8645947"/>
      <w:commentRangeStart w:id="11"/>
      <w:r w:rsidRPr="00330119">
        <w:rPr>
          <w:i/>
          <w:sz w:val="24"/>
          <w:szCs w:val="24"/>
        </w:rPr>
        <w:t>Discussion</w:t>
      </w:r>
      <w:commentRangeEnd w:id="11"/>
      <w:r w:rsidRPr="00330119">
        <w:rPr>
          <w:rStyle w:val="CommentReference"/>
          <w:rFonts w:eastAsiaTheme="minorHAnsi"/>
          <w:i/>
          <w:sz w:val="24"/>
          <w:szCs w:val="24"/>
        </w:rPr>
        <w:commentReference w:id="11"/>
      </w:r>
      <w:bookmarkEnd w:id="10"/>
      <w:r w:rsidR="00330119" w:rsidRPr="00330119">
        <w:rPr>
          <w:i/>
          <w:sz w:val="24"/>
          <w:szCs w:val="24"/>
        </w:rPr>
        <w:t>s</w:t>
      </w:r>
    </w:p>
    <w:p w14:paraId="75353690" w14:textId="78D2A70E" w:rsidR="002D4E28" w:rsidRPr="00985BDC" w:rsidRDefault="002B7F2B" w:rsidP="00CF29E2">
      <w:pPr>
        <w:spacing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Based on h</w:t>
      </w:r>
      <w:r w:rsidR="002D4E28" w:rsidRPr="00985BDC">
        <w:rPr>
          <w:rFonts w:ascii="Times New Roman" w:hAnsi="Times New Roman" w:cs="Times New Roman"/>
          <w:sz w:val="24"/>
          <w:szCs w:val="24"/>
        </w:rPr>
        <w:t xml:space="preserve">ypothesis 1, </w:t>
      </w:r>
      <w:r w:rsidR="002D4E28" w:rsidRPr="00985BDC">
        <w:rPr>
          <w:rFonts w:ascii="Times New Roman" w:eastAsia="Times New Roman" w:hAnsi="Times New Roman" w:cs="Times New Roman"/>
          <w:sz w:val="24"/>
          <w:szCs w:val="24"/>
        </w:rPr>
        <w:t xml:space="preserve">there is a significant positive relationship between the price and customer switching behaviour in investment banking sector. </w:t>
      </w:r>
      <w:r>
        <w:rPr>
          <w:rFonts w:ascii="Times New Roman" w:eastAsia="Times New Roman" w:hAnsi="Times New Roman" w:cs="Times New Roman"/>
          <w:sz w:val="24"/>
          <w:szCs w:val="24"/>
        </w:rPr>
        <w:t>It was found significant with p-value &lt; 0.1 but the negative relationship was found with -.196. Therefore</w:t>
      </w:r>
      <w:r w:rsidR="002D4E28" w:rsidRPr="00985B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2D4E28" w:rsidRPr="00985BDC">
        <w:rPr>
          <w:rFonts w:ascii="Times New Roman" w:eastAsia="Times New Roman" w:hAnsi="Times New Roman" w:cs="Times New Roman"/>
          <w:sz w:val="24"/>
          <w:szCs w:val="24"/>
        </w:rPr>
        <w:t>hypothesis</w:t>
      </w:r>
      <w:r>
        <w:rPr>
          <w:rFonts w:ascii="Times New Roman" w:eastAsia="Times New Roman" w:hAnsi="Times New Roman" w:cs="Times New Roman"/>
          <w:sz w:val="24"/>
          <w:szCs w:val="24"/>
        </w:rPr>
        <w:t xml:space="preserve"> is rejected</w:t>
      </w:r>
      <w:r w:rsidR="002D4E28" w:rsidRPr="00985BDC">
        <w:rPr>
          <w:rFonts w:ascii="Times New Roman" w:eastAsia="Times New Roman" w:hAnsi="Times New Roman" w:cs="Times New Roman"/>
          <w:sz w:val="24"/>
          <w:szCs w:val="24"/>
        </w:rPr>
        <w:t xml:space="preserve">. The result of price variable is not consistent of previous studies such as </w:t>
      </w:r>
      <w:r w:rsidR="002D4E28" w:rsidRPr="00985BDC">
        <w:rPr>
          <w:rFonts w:ascii="Times New Roman" w:eastAsia="Times New Roman" w:hAnsi="Times New Roman" w:cs="Times New Roman"/>
          <w:sz w:val="24"/>
          <w:szCs w:val="24"/>
        </w:rPr>
        <w:fldChar w:fldCharType="begin" w:fldLock="1"/>
      </w:r>
      <w:r w:rsidR="002D4E28" w:rsidRPr="00985BDC">
        <w:rPr>
          <w:rFonts w:ascii="Times New Roman" w:eastAsia="Times New Roman" w:hAnsi="Times New Roman" w:cs="Times New Roman"/>
          <w:sz w:val="24"/>
          <w:szCs w:val="24"/>
        </w:rPr>
        <w:instrText>ADDIN CSL_CITATION {"citationItems":[{"id":"ITEM-1","itemData":{"DOI":"10.1108/08876040410536512","ISSN":"0887-6045","author":[{"dropping-particle":"","family":"Gerrard","given":"Philip","non-dropping-particle":"","parse-names":false,"suffix":""},{"dropping-particle":"","family":"Barton Cunningham","given":"J.","non-dropping-particle":"","parse-names":false,"suffix":""}],"container-title":"Journal of Services Marketing","id":"ITEM-1","issue":"3","issued":{"date-parts":[["2004","5"]]},"page":"215-223","title":"Consumer switching behavior in the Asian banking market","type":"article-journal","volume":"18"},"uris":["http://www.mendeley.com/documents/?uuid=aa74810e-1b06-35ef-96a1-cf3193f21ae0"]}],"mendeley":{"formattedCitation":"(Gerrard &amp; Barton Cunningham, 2004)","plainTextFormattedCitation":"(Gerrard &amp; Barton Cunningham, 2004)","previouslyFormattedCitation":"(Gerrard &amp; Barton Cunningham, 2004)"},"properties":{"noteIndex":0},"schema":"https://github.com/citation-style-language/schema/raw/master/csl-citation.json"}</w:instrText>
      </w:r>
      <w:r w:rsidR="002D4E28" w:rsidRPr="00985BDC">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Gerrard &amp; Barton Cunningham</w:t>
      </w:r>
      <w:r w:rsidR="002D4E28" w:rsidRPr="00985BDC">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w:t>
      </w:r>
      <w:r w:rsidR="002D4E28" w:rsidRPr="00985BDC">
        <w:rPr>
          <w:rFonts w:ascii="Times New Roman" w:eastAsia="Times New Roman" w:hAnsi="Times New Roman" w:cs="Times New Roman"/>
          <w:noProof/>
          <w:sz w:val="24"/>
          <w:szCs w:val="24"/>
        </w:rPr>
        <w:t>2004)</w:t>
      </w:r>
      <w:r w:rsidR="002D4E28" w:rsidRPr="00985BDC">
        <w:rPr>
          <w:rFonts w:ascii="Times New Roman" w:eastAsia="Times New Roman" w:hAnsi="Times New Roman" w:cs="Times New Roman"/>
          <w:sz w:val="24"/>
          <w:szCs w:val="24"/>
        </w:rPr>
        <w:fldChar w:fldCharType="end"/>
      </w:r>
      <w:r w:rsidR="002D4E28" w:rsidRPr="00985BDC">
        <w:rPr>
          <w:rFonts w:ascii="Times New Roman" w:eastAsia="Times New Roman" w:hAnsi="Times New Roman" w:cs="Times New Roman"/>
          <w:sz w:val="24"/>
          <w:szCs w:val="24"/>
        </w:rPr>
        <w:t xml:space="preserve"> and </w:t>
      </w:r>
      <w:r w:rsidR="002D4E28" w:rsidRPr="00985BDC">
        <w:rPr>
          <w:rFonts w:ascii="Times New Roman" w:eastAsia="Times New Roman" w:hAnsi="Times New Roman" w:cs="Times New Roman"/>
          <w:sz w:val="24"/>
          <w:szCs w:val="24"/>
        </w:rPr>
        <w:fldChar w:fldCharType="begin" w:fldLock="1"/>
      </w:r>
      <w:r w:rsidR="002D4E28" w:rsidRPr="00985BDC">
        <w:rPr>
          <w:rFonts w:ascii="Times New Roman" w:eastAsia="Times New Roman" w:hAnsi="Times New Roman" w:cs="Times New Roman"/>
          <w:sz w:val="24"/>
          <w:szCs w:val="24"/>
        </w:rPr>
        <w:instrText>ADDIN CSL_CITATION {"citationItems":[{"id":"ITEM-1","itemData":{"DOI":"10.1108/02652320110400888","ISSN":"0265-2323","author":[{"dropping-particle":"","family":"Colgate","given":"Mark","non-dropping-particle":"","parse-names":false,"suffix":""},{"dropping-particle":"","family":"Hedge","given":"Rachel","non-dropping-particle":"","parse-names":false,"suffix":""}],"container-title":"International Journal of Bank Marketing","id":"ITEM-1","issue":"5","issued":{"date-parts":[["2001","9"]]},"page":"201-212","title":"An investigation into the switching process in retail banking services","type":"article-journal","volume":"19"},"uris":["http://www.mendeley.com/documents/?uuid=b7646ab1-56e5-3c9f-b1de-03571a543ae7"]}],"mendeley":{"formattedCitation":"(Colgate &amp; Hedge, 2001)","plainTextFormattedCitation":"(Colgate &amp; Hedge, 2001)","previouslyFormattedCitation":"(Colgate &amp; Hedge, 2001)"},"properties":{"noteIndex":0},"schema":"https://github.com/citation-style-language/schema/raw/master/csl-citation.json"}</w:instrText>
      </w:r>
      <w:r w:rsidR="002D4E28" w:rsidRPr="00985BDC">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Colgate &amp; Hedge</w:t>
      </w:r>
      <w:r w:rsidR="002D4E28" w:rsidRPr="00985BDC">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w:t>
      </w:r>
      <w:r w:rsidR="002D4E28" w:rsidRPr="00985BDC">
        <w:rPr>
          <w:rFonts w:ascii="Times New Roman" w:eastAsia="Times New Roman" w:hAnsi="Times New Roman" w:cs="Times New Roman"/>
          <w:noProof/>
          <w:sz w:val="24"/>
          <w:szCs w:val="24"/>
        </w:rPr>
        <w:t>2001)</w:t>
      </w:r>
      <w:r w:rsidR="002D4E28" w:rsidRPr="00985BDC">
        <w:rPr>
          <w:rFonts w:ascii="Times New Roman" w:eastAsia="Times New Roman" w:hAnsi="Times New Roman" w:cs="Times New Roman"/>
          <w:sz w:val="24"/>
          <w:szCs w:val="24"/>
        </w:rPr>
        <w:fldChar w:fldCharType="end"/>
      </w:r>
      <w:r w:rsidR="002D4E28" w:rsidRPr="00985BDC">
        <w:rPr>
          <w:rFonts w:ascii="Times New Roman" w:eastAsia="Times New Roman" w:hAnsi="Times New Roman" w:cs="Times New Roman"/>
          <w:sz w:val="24"/>
          <w:szCs w:val="24"/>
        </w:rPr>
        <w:t xml:space="preserve"> that had proved price has positive relationship with customers switching behaviour toward banking . </w:t>
      </w:r>
    </w:p>
    <w:p w14:paraId="157B2268" w14:textId="77777777"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Gerrard and Cunningham (2004) remain that pricing effect switching behaviour amongst customers as price has a broader impact for bank customers than customers of other services. However, for this study, the sample was only focus on customer from the bank only. Therefore, the comparison with the other services are not relevant to this study. Meanwhile, Colgate and Hedge (2001) of studies about the customer switching behaviour in Australia and New Zealand and found that price is the most essential switching factor. Therefore, the insignificant findings were found in this study due to different sampling area since this study focus on customer from Malaysia, which is developing country. </w:t>
      </w:r>
    </w:p>
    <w:p w14:paraId="2FE3BF6E" w14:textId="291BD0F6"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The result was the same with the studies of Javalgi et.al’s (1989) that research about the factors that determine the customers’ bank decision in USA. Furthermore, the studies of Almossawi (2001) empirically describe that price as the critical determinants in choosing bank for college students. Moreover, Keaveney (1995) claimed that heavy cost involved of opening an account and many more cost that are linked with the acquisition of new customers. All of the costs can be as superior as the costs of customer maintenance efforts. As for this study, the cost in the questionnaire focus on interest and fees charged to the customer. </w:t>
      </w:r>
    </w:p>
    <w:p w14:paraId="4F33BC05" w14:textId="64D68988"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Hypothesis 2 stated that there is a significant positive relationship between the reputation and customer switching behaviour in investment banking sector and </w:t>
      </w:r>
      <w:r w:rsidR="002B7F2B">
        <w:rPr>
          <w:rFonts w:ascii="Times New Roman" w:eastAsia="Times New Roman" w:hAnsi="Times New Roman" w:cs="Times New Roman"/>
          <w:sz w:val="24"/>
          <w:szCs w:val="24"/>
        </w:rPr>
        <w:t xml:space="preserve">based on the p-value of .147, </w:t>
      </w:r>
      <w:r w:rsidRPr="00985BDC">
        <w:rPr>
          <w:rFonts w:ascii="Times New Roman" w:eastAsia="Times New Roman" w:hAnsi="Times New Roman" w:cs="Times New Roman"/>
          <w:sz w:val="24"/>
          <w:szCs w:val="24"/>
        </w:rPr>
        <w:t xml:space="preserve">it is not accepted. This is similar with the findings </w:t>
      </w:r>
      <w:r w:rsidR="00FD225C" w:rsidRPr="00985BDC">
        <w:rPr>
          <w:rFonts w:ascii="Times New Roman" w:eastAsia="Times New Roman" w:hAnsi="Times New Roman" w:cs="Times New Roman"/>
          <w:sz w:val="24"/>
          <w:szCs w:val="24"/>
        </w:rPr>
        <w:t>of Colgate</w:t>
      </w:r>
      <w:r w:rsidRPr="00985BDC">
        <w:rPr>
          <w:rFonts w:ascii="Times New Roman" w:eastAsia="Times New Roman" w:hAnsi="Times New Roman" w:cs="Times New Roman"/>
          <w:sz w:val="24"/>
          <w:szCs w:val="24"/>
        </w:rPr>
        <w:t xml:space="preserve">&amp; Hedge (2001), Lee and Murphy (2005) who discovered that there are three switching factors that necessary in the banking context. They are in terms of pricing problems, breakdown of service and rejected services. This is in line with this study as the study of scope is specific for banking customers. </w:t>
      </w:r>
    </w:p>
    <w:p w14:paraId="0EC0FC96" w14:textId="63BD0B11" w:rsidR="002D4E28" w:rsidRPr="00985BDC" w:rsidRDefault="002B7F2B" w:rsidP="00CF29E2">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w:t>
      </w:r>
      <w:r w:rsidR="002D4E28" w:rsidRPr="00985BDC">
        <w:rPr>
          <w:rFonts w:ascii="Times New Roman" w:eastAsia="Times New Roman" w:hAnsi="Times New Roman" w:cs="Times New Roman"/>
          <w:sz w:val="24"/>
          <w:szCs w:val="24"/>
        </w:rPr>
        <w:t xml:space="preserve"> finding was found by Gerrard &amp; Cunningham (2004) where pricing, inconvenience and breakdown of services were because of 90% of the customer switching. They also described the bank reputation as one of the determinants that foster to the customer switching behaviour among Asian financial market. The findings of this study also found that reputation is the most leading factor for customer to switch bank. (Refer to the Coefficient of Customer Switching Behaviour). </w:t>
      </w:r>
    </w:p>
    <w:p w14:paraId="1CA6C822" w14:textId="77777777"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Studies of Weigelt and Camerer (1988) focus that a reputation that has a strategic instrument that banks use to gain additional income is the positive reputation. Basically, for </w:t>
      </w:r>
      <w:r w:rsidRPr="00985BDC">
        <w:rPr>
          <w:rFonts w:ascii="Times New Roman" w:eastAsia="Times New Roman" w:hAnsi="Times New Roman" w:cs="Times New Roman"/>
          <w:sz w:val="24"/>
          <w:szCs w:val="24"/>
        </w:rPr>
        <w:lastRenderedPageBreak/>
        <w:t>this study which emphasized on investment banking, a good reputation of a bank is a must for customer to secure their investment and saving money into the bank. This is same with the opinion form Wang et al. (2003) that proposed that in order to identify the purchasing and repurchasing behaviour of customer, a bank’s reputation in indeed the most critical feature to find it. The significant result of the study which is carried out in China, an advanced country is benefit for them while the insignificant result of this study which is carried out in Malaysia.</w:t>
      </w:r>
    </w:p>
    <w:p w14:paraId="45587853" w14:textId="77777777"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Likewise, Yue and Tom (1995) as well as Javalgi et al. (1989) illustrate that bank customer’s election decision can be influence by a bank’s reputation. A good one can enhance the customer’s trust and confidence on a bank become stronger while a bad reputation can rise the probability of the customer to switch banks. (Clemes et al., 2007a). For this study, specifically Tabung Haji and ASNB is picked for the investment company in order to find out which of reputation of those companies that are more dominance in Malaysia. Based on the findings, most people of have account Tabung Haji more than Amanah Saham Nasional Berhad (ASNB). (Please refer to Appendix of Descriptive Analysis of Demographic Profile) </w:t>
      </w:r>
    </w:p>
    <w:p w14:paraId="6E0CD5ED" w14:textId="4E88C9B9" w:rsidR="002D4E28" w:rsidRPr="00985BDC" w:rsidRDefault="002B7F2B" w:rsidP="00CF29E2">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for h</w:t>
      </w:r>
      <w:r w:rsidR="002D4E28" w:rsidRPr="00985BDC">
        <w:rPr>
          <w:rFonts w:ascii="Times New Roman" w:eastAsia="Times New Roman" w:hAnsi="Times New Roman" w:cs="Times New Roman"/>
          <w:sz w:val="24"/>
          <w:szCs w:val="24"/>
        </w:rPr>
        <w:t>ypothesis 3, there is a significant positive relationship between the services quality and customer switching behavio</w:t>
      </w:r>
      <w:r>
        <w:rPr>
          <w:rFonts w:ascii="Times New Roman" w:eastAsia="Times New Roman" w:hAnsi="Times New Roman" w:cs="Times New Roman"/>
          <w:sz w:val="24"/>
          <w:szCs w:val="24"/>
        </w:rPr>
        <w:t>ur in investment banking sector, the findings also rejected this hypothesis since p-value &gt;0.10.</w:t>
      </w:r>
      <w:r w:rsidR="002D4E28" w:rsidRPr="00985BDC">
        <w:rPr>
          <w:rFonts w:ascii="Times New Roman" w:eastAsia="Times New Roman" w:hAnsi="Times New Roman" w:cs="Times New Roman"/>
          <w:sz w:val="24"/>
          <w:szCs w:val="24"/>
        </w:rPr>
        <w:t xml:space="preserve"> Based on prior studies </w:t>
      </w:r>
      <w:r w:rsidR="002D4E28" w:rsidRPr="00985BDC">
        <w:rPr>
          <w:rFonts w:ascii="Times New Roman" w:hAnsi="Times New Roman" w:cs="Times New Roman"/>
          <w:color w:val="000000"/>
          <w:sz w:val="24"/>
          <w:szCs w:val="24"/>
          <w:shd w:val="clear" w:color="auto" w:fill="FFFFFF"/>
        </w:rPr>
        <w:t xml:space="preserve">of </w:t>
      </w:r>
      <w:r w:rsidR="002D4E28" w:rsidRPr="00985BDC">
        <w:rPr>
          <w:rFonts w:ascii="Times New Roman" w:eastAsia="Times New Roman" w:hAnsi="Times New Roman" w:cs="Times New Roman"/>
          <w:sz w:val="24"/>
          <w:szCs w:val="24"/>
        </w:rPr>
        <w:fldChar w:fldCharType="begin" w:fldLock="1"/>
      </w:r>
      <w:r w:rsidR="002D4E28" w:rsidRPr="00985BDC">
        <w:rPr>
          <w:rFonts w:ascii="Times New Roman" w:eastAsia="Times New Roman" w:hAnsi="Times New Roman" w:cs="Times New Roman"/>
          <w:sz w:val="24"/>
          <w:szCs w:val="24"/>
        </w:rPr>
        <w:instrText>ADDIN CSL_CITATION {"citationItems":[{"id":"ITEM-1","itemData":{"DOI":"10.1108/03074350810848063","ISSN":"0307-4358","author":[{"dropping-particle":"","family":"Mavri","given":"Maria","non-dropping-particle":"","parse-names":false,"suffix":""},{"dropping-particle":"","family":"Ioannou","given":"George","non-dropping-particle":"","parse-names":false,"suffix":""}],"container-title":"Managerial Finance","editor":[{"dropping-particle":"","family":"Zopounidis","given":"Constantin","non-dropping-particle":"","parse-names":false,"suffix":""}],"id":"ITEM-1","issue":"3","issued":{"date-parts":[["2008","2","15"]]},"page":"186-197","title":"Customer switching behaviour in Greek banking services using survival analysis","type":"article-journal","volume":"34"},"uris":["http://www.mendeley.com/documents/?uuid=c0154a3c-e155-3701-ad78-ceb43cca9e0c"]}],"mendeley":{"formattedCitation":"(Mavri &amp; Ioannou, 2008)","plainTextFormattedCitation":"(Mavri &amp; Ioannou, 2008)","previouslyFormattedCitation":"(Mavri &amp; Ioannou, 2008)"},"properties":{"noteIndex":0},"schema":"https://github.com/citation-style-language/schema/raw/master/csl-citation.json"}</w:instrText>
      </w:r>
      <w:r w:rsidR="002D4E28" w:rsidRPr="00985BDC">
        <w:rPr>
          <w:rFonts w:ascii="Times New Roman" w:eastAsia="Times New Roman" w:hAnsi="Times New Roman" w:cs="Times New Roman"/>
          <w:sz w:val="24"/>
          <w:szCs w:val="24"/>
        </w:rPr>
        <w:fldChar w:fldCharType="separate"/>
      </w:r>
      <w:r w:rsidR="002D4E28" w:rsidRPr="00985BDC">
        <w:rPr>
          <w:rFonts w:ascii="Times New Roman" w:eastAsia="Times New Roman" w:hAnsi="Times New Roman" w:cs="Times New Roman"/>
          <w:noProof/>
          <w:sz w:val="24"/>
          <w:szCs w:val="24"/>
        </w:rPr>
        <w:t>(Mavri &amp; Ioannou, 2008)</w:t>
      </w:r>
      <w:r w:rsidR="002D4E28" w:rsidRPr="00985BDC">
        <w:rPr>
          <w:rFonts w:ascii="Times New Roman" w:eastAsia="Times New Roman" w:hAnsi="Times New Roman" w:cs="Times New Roman"/>
          <w:sz w:val="24"/>
          <w:szCs w:val="24"/>
        </w:rPr>
        <w:fldChar w:fldCharType="end"/>
      </w:r>
      <w:r w:rsidR="002D4E28" w:rsidRPr="00985BDC">
        <w:rPr>
          <w:rFonts w:ascii="Times New Roman" w:eastAsia="Times New Roman" w:hAnsi="Times New Roman" w:cs="Times New Roman"/>
          <w:sz w:val="24"/>
          <w:szCs w:val="24"/>
        </w:rPr>
        <w:t xml:space="preserve"> ‘s research found that services quality has positive effect of consumer to change conduct of Greek banking. This finding of the study is insignificant which contrary with the earlier research because of the data sampling. </w:t>
      </w:r>
    </w:p>
    <w:p w14:paraId="7D77D3C3" w14:textId="77777777"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On the other hand, a study from Kura et al. (2012) discovered there is no significantly impact of service quality which is measured with empathy and assurance on customer switching behaviour in banking. Similarly, with the findings of this study which no relationship between service quality and customer intent to switch. However, this is totally different with the findings of (Clemes et al., 2007b; Dagger et al., 2007) which claimed that service products can be instrument of interaction, physical environment as well as outcome quality in a hierarchical natural of service quality. This study which is focused on services quality of banking rather than services products is probably the reason for the insignificant result in the findings.</w:t>
      </w:r>
    </w:p>
    <w:p w14:paraId="7903EAFB" w14:textId="77777777"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On the other hand, Mavri and Ioannou (2008) examined customer switching behaviour in Greek and figure out the quality of the banking goods and services will influence the switching behaviour to decrease. This means that if the quality of the services is excellent, the probability the customers to switch is lower. Contrary with the finding if this study which as the higher the service quality, the higher the intent to switch. This may be due to smaller amount of data that collected from this study.</w:t>
      </w:r>
    </w:p>
    <w:p w14:paraId="265A84DD" w14:textId="77777777"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 Similar with Bahia and Nantel’s (2000) research on retail banking which they found access and service portfolio are essential component to service quality. It is same with this study’s finding which service quality came top three of the factor of the customer switch behaviour between Tabung Haji and ASNB. (Please refer to Table: Coefficient of Customer Switching Behaviour)</w:t>
      </w:r>
    </w:p>
    <w:p w14:paraId="79A7D87D" w14:textId="49FDBF20"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In hypothesis 4, there is a significant positive relationship between the</w:t>
      </w:r>
      <w:r w:rsidRPr="00985BDC">
        <w:rPr>
          <w:rFonts w:ascii="Times New Roman" w:hAnsi="Times New Roman" w:cs="Times New Roman"/>
          <w:sz w:val="24"/>
          <w:szCs w:val="24"/>
        </w:rPr>
        <w:t xml:space="preserve"> advertising </w:t>
      </w:r>
      <w:r w:rsidRPr="00985BDC">
        <w:rPr>
          <w:rFonts w:ascii="Times New Roman" w:eastAsia="Times New Roman" w:hAnsi="Times New Roman" w:cs="Times New Roman"/>
          <w:sz w:val="24"/>
          <w:szCs w:val="24"/>
        </w:rPr>
        <w:t xml:space="preserve">and customer switching behaviour in investment banking sector and it is not accepted. </w:t>
      </w:r>
      <w:r w:rsidR="002B7F2B">
        <w:rPr>
          <w:rFonts w:ascii="Times New Roman" w:eastAsia="Times New Roman" w:hAnsi="Times New Roman" w:cs="Times New Roman"/>
          <w:sz w:val="24"/>
          <w:szCs w:val="24"/>
        </w:rPr>
        <w:t xml:space="preserve">The findings indicate p-value of .685 with a negative relationship. </w:t>
      </w:r>
      <w:r w:rsidRPr="00985BDC">
        <w:rPr>
          <w:rFonts w:ascii="Times New Roman" w:eastAsia="Times New Roman" w:hAnsi="Times New Roman" w:cs="Times New Roman"/>
          <w:sz w:val="24"/>
          <w:szCs w:val="24"/>
        </w:rPr>
        <w:t xml:space="preserve">This means that the advertising does not significantly affect the switching behaviour. This is in line with the studies of Clemes et al (2010) which discovered negative relationship among advertising and customer switching in their research. This indicate that as the higher the advertising, the lower the customer intent to switch which is as same as the previous studies of Cengiz et al. (2007) about customer </w:t>
      </w:r>
      <w:r w:rsidRPr="00985BDC">
        <w:rPr>
          <w:rFonts w:ascii="Times New Roman" w:eastAsia="Times New Roman" w:hAnsi="Times New Roman" w:cs="Times New Roman"/>
          <w:sz w:val="24"/>
          <w:szCs w:val="24"/>
        </w:rPr>
        <w:lastRenderedPageBreak/>
        <w:t>behaviour and that effective advertising may encourage a bank’s customer loyalty and assist retain customers. This means the higher the advertising, the more the customer to become loyal to one bank.</w:t>
      </w:r>
    </w:p>
    <w:p w14:paraId="37293B2E" w14:textId="77777777"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hAnsi="Times New Roman" w:cs="Times New Roman"/>
          <w:sz w:val="24"/>
          <w:szCs w:val="24"/>
        </w:rPr>
        <w:t xml:space="preserve">Through hypothesis 5, </w:t>
      </w:r>
      <w:r w:rsidRPr="00985BDC">
        <w:rPr>
          <w:rFonts w:ascii="Times New Roman" w:eastAsia="Times New Roman" w:hAnsi="Times New Roman" w:cs="Times New Roman"/>
          <w:sz w:val="24"/>
          <w:szCs w:val="24"/>
        </w:rPr>
        <w:t>there is a significant positive relationship between the</w:t>
      </w:r>
      <w:r w:rsidRPr="00985BDC">
        <w:rPr>
          <w:rFonts w:ascii="Times New Roman" w:hAnsi="Times New Roman" w:cs="Times New Roman"/>
          <w:sz w:val="24"/>
          <w:szCs w:val="24"/>
        </w:rPr>
        <w:t xml:space="preserve"> involuntary switching </w:t>
      </w:r>
      <w:r w:rsidRPr="00985BDC">
        <w:rPr>
          <w:rFonts w:ascii="Times New Roman" w:eastAsia="Times New Roman" w:hAnsi="Times New Roman" w:cs="Times New Roman"/>
          <w:sz w:val="24"/>
          <w:szCs w:val="24"/>
        </w:rPr>
        <w:t>and customer switching behaviour in investment banking sector however it has to be rejected since the involuntary switching does not affect customer switching behaviour between investment bank Tabung Haji and ASNB. This finding backed by Anjum et al (2011)’s findings who discovered distance being the leading vital factor and involuntary switching the least influence factor for switching between Indian private financial institutions customers.</w:t>
      </w:r>
    </w:p>
    <w:p w14:paraId="43D032A5" w14:textId="4B4867BA"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 </w:t>
      </w:r>
      <w:r w:rsidR="002B7F2B" w:rsidRPr="00985BDC">
        <w:rPr>
          <w:rFonts w:ascii="Times New Roman" w:eastAsia="Times New Roman" w:hAnsi="Times New Roman" w:cs="Times New Roman"/>
          <w:sz w:val="24"/>
          <w:szCs w:val="24"/>
        </w:rPr>
        <w:t>Nevertheless</w:t>
      </w:r>
      <w:r w:rsidRPr="00985BDC">
        <w:rPr>
          <w:rFonts w:ascii="Times New Roman" w:eastAsia="Times New Roman" w:hAnsi="Times New Roman" w:cs="Times New Roman"/>
          <w:sz w:val="24"/>
          <w:szCs w:val="24"/>
        </w:rPr>
        <w:t>, many scholars and experts have verified that involuntary switching is one of the factors boosting customers to switch in service industry (</w:t>
      </w:r>
      <w:bookmarkStart w:id="12" w:name="_Hlk8350054"/>
      <w:r w:rsidRPr="00985BDC">
        <w:rPr>
          <w:rFonts w:ascii="Times New Roman" w:eastAsia="Times New Roman" w:hAnsi="Times New Roman" w:cs="Times New Roman"/>
          <w:sz w:val="24"/>
          <w:szCs w:val="24"/>
        </w:rPr>
        <w:t>Friedman</w:t>
      </w:r>
      <w:bookmarkEnd w:id="12"/>
      <w:r w:rsidRPr="00985BDC">
        <w:rPr>
          <w:rFonts w:ascii="Times New Roman" w:eastAsia="Times New Roman" w:hAnsi="Times New Roman" w:cs="Times New Roman"/>
          <w:sz w:val="24"/>
          <w:szCs w:val="24"/>
        </w:rPr>
        <w:t xml:space="preserve"> &amp; Smith, 1993; Ganesh et al., 2000; Khan et al., 2010). This is different with the scope of study which is the banking industry while the study by Friedman &amp; Smith (1993) is more focused on child care and other service markets.</w:t>
      </w:r>
    </w:p>
    <w:p w14:paraId="2533C31A" w14:textId="2C0621D9"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Hypothesis 6, there is a significant positive relationship between the</w:t>
      </w:r>
      <w:r w:rsidRPr="00985BDC">
        <w:rPr>
          <w:rFonts w:ascii="Times New Roman" w:hAnsi="Times New Roman" w:cs="Times New Roman"/>
          <w:sz w:val="24"/>
          <w:szCs w:val="24"/>
        </w:rPr>
        <w:t xml:space="preserve"> distance and</w:t>
      </w:r>
      <w:r w:rsidRPr="00985BDC">
        <w:rPr>
          <w:rFonts w:ascii="Times New Roman" w:eastAsia="Times New Roman" w:hAnsi="Times New Roman" w:cs="Times New Roman"/>
          <w:sz w:val="24"/>
          <w:szCs w:val="24"/>
        </w:rPr>
        <w:t xml:space="preserve"> customer switching behaviour in investment banking sector. The finding of this study regarding the distance is negative relationship</w:t>
      </w:r>
      <w:r w:rsidR="0084268E">
        <w:rPr>
          <w:rFonts w:ascii="Times New Roman" w:eastAsia="Times New Roman" w:hAnsi="Times New Roman" w:cs="Times New Roman"/>
          <w:sz w:val="24"/>
          <w:szCs w:val="24"/>
        </w:rPr>
        <w:t xml:space="preserve"> with a p-value of .688, which indicates insignificant findings.</w:t>
      </w:r>
      <w:r w:rsidRPr="00985BDC">
        <w:rPr>
          <w:rFonts w:ascii="Times New Roman" w:eastAsia="Times New Roman" w:hAnsi="Times New Roman" w:cs="Times New Roman"/>
          <w:sz w:val="24"/>
          <w:szCs w:val="24"/>
        </w:rPr>
        <w:t xml:space="preserve"> This finding is supported by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{"citationItems":[{"id":"ITEM-1","itemData":{"DOI":"10.1108/02652321011085185","ISSN":"0265-2323","author":[{"dropping-particle":"","family":"Clemes","given":"Michael D.","non-dropping-particle":"","parse-names":false,"suffix":""},{"dropping-particle":"","family":"Gan","given":"Christopher","non-dropping-particle":"","parse-names":false,"suffix":""},{"dropping-particle":"","family":"Zhang","given":"Dongmei","non-dropping-particle":"","parse-names":false,"suffix":""}],"container-title":"International Journal of Bank Marketing","id":"ITEM-1","issue":"7","issued":{"date-parts":[["2010","10","12"]]},"page":"519-546","title":"Customer switching behaviour in the Chinese retail banking industry","type":"article-journal","volume":"28"},"uris":["http://www.mendeley.com/documents/?uuid=ab5ecfb3-8a6f-3f53-9241-34d5de8b1220"]}],"mendeley":{"formattedCitation":"(Clemes, Gan, &amp; Zhang, 2010)","plainTextFormattedCitation":"(Clemes, Gan, &amp; Zhang, 2010)"},"properties":{"noteIndex":0},"schema":"https://github.com/citation-style-language/schema/raw/master/csl-citation.json"}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(Clemes, Gan, &amp; Zhang, 2010)</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‘s findings which discovered that there is negative relationship exist between customer switching behaviour and the impact factors. Contrary with the research from Keaveney’s (1995) that stress out the location is the most essential factor which influencing switching behaviour. The reason was most likely due to the study done by Keaveney’s (1995) done during the year.</w:t>
      </w:r>
    </w:p>
    <w:p w14:paraId="4DD08A25" w14:textId="78311272"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Hypothesis 7, there is a significant positive relationship between the</w:t>
      </w:r>
      <w:r w:rsidRPr="00985BDC">
        <w:rPr>
          <w:rFonts w:ascii="Times New Roman" w:hAnsi="Times New Roman" w:cs="Times New Roman"/>
          <w:sz w:val="24"/>
          <w:szCs w:val="24"/>
        </w:rPr>
        <w:t xml:space="preserve"> switching cost and</w:t>
      </w:r>
      <w:r w:rsidRPr="00985BDC">
        <w:rPr>
          <w:rFonts w:ascii="Times New Roman" w:eastAsia="Times New Roman" w:hAnsi="Times New Roman" w:cs="Times New Roman"/>
          <w:sz w:val="24"/>
          <w:szCs w:val="24"/>
        </w:rPr>
        <w:t xml:space="preserve"> customer switching behaviour in investment banking sector. </w:t>
      </w:r>
      <w:r w:rsidR="0084268E">
        <w:rPr>
          <w:rFonts w:ascii="Times New Roman" w:eastAsia="Times New Roman" w:hAnsi="Times New Roman" w:cs="Times New Roman"/>
          <w:sz w:val="24"/>
          <w:szCs w:val="24"/>
        </w:rPr>
        <w:t xml:space="preserve">Findings indicate insignificant relationship of p-value &gt;0.1 and t= 1.033. Therefore, the hypothesis is rejected. </w:t>
      </w:r>
      <w:r w:rsidRPr="00985BDC">
        <w:rPr>
          <w:rFonts w:ascii="Times New Roman" w:eastAsia="Times New Roman" w:hAnsi="Times New Roman" w:cs="Times New Roman"/>
          <w:sz w:val="24"/>
          <w:szCs w:val="24"/>
        </w:rPr>
        <w:t xml:space="preserve">Different from this finding of study, finding of Jones et al. (2002) discovered that switching cost is positively and significantly </w:t>
      </w:r>
      <w:r w:rsidR="00D02184" w:rsidRPr="00985BDC">
        <w:rPr>
          <w:rFonts w:ascii="Times New Roman" w:eastAsia="Times New Roman" w:hAnsi="Times New Roman" w:cs="Times New Roman"/>
          <w:sz w:val="24"/>
          <w:szCs w:val="24"/>
        </w:rPr>
        <w:t>having</w:t>
      </w:r>
      <w:r w:rsidRPr="00985BDC">
        <w:rPr>
          <w:rFonts w:ascii="Times New Roman" w:eastAsia="Times New Roman" w:hAnsi="Times New Roman" w:cs="Times New Roman"/>
          <w:sz w:val="24"/>
          <w:szCs w:val="24"/>
        </w:rPr>
        <w:t xml:space="preserve"> correlation with the repurchasing intentions. The data was collected with two studies which a total of 113 students from university was participated and the other study was collected from non- student of 434 adults. </w:t>
      </w:r>
    </w:p>
    <w:p w14:paraId="54509524" w14:textId="77777777"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Besides that, Colgate and Lang (2001) reveal that switching cost had a vital role on encouraging customer to lack of switching in the New Zealand financial industry. Scholars and experts such as Fornell (1992) clarify that high switching costs can avoid switching by making it high priced for customers to exchange service providers. The incremental cost may discourage customers from change to other banks than their current bank due to they perceived switching cost to be higher than the assumed benefits of changing service provider. (Lees et al.,2007). Based on this study questionnaires, the high cost of switching is more likely to reasons they don’t want to switch. (Please refer to Appendix Questionnaires Section Switching Cost). However, the data findings were not significant due to the small sample of data collected for this study.</w:t>
      </w:r>
    </w:p>
    <w:p w14:paraId="32766EE7" w14:textId="77777777" w:rsidR="002D4E28" w:rsidRPr="00985BDC" w:rsidRDefault="002D4E28" w:rsidP="00CF29E2">
      <w:pPr>
        <w:spacing w:line="240" w:lineRule="auto"/>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 </w:t>
      </w:r>
      <w:r w:rsidRPr="00985BDC">
        <w:rPr>
          <w:rFonts w:ascii="Times New Roman" w:eastAsia="Times New Roman" w:hAnsi="Times New Roman" w:cs="Times New Roman"/>
          <w:sz w:val="24"/>
          <w:szCs w:val="24"/>
        </w:rPr>
        <w:tab/>
        <w:t xml:space="preserve">Gronhaug and Gilly (1991) mention that a customer who is displeased may stay with their current provider in case the switching price is too expensive. This is opposite of the study findings which is as the switching cost higher, the higher the intent of customer to switch bank. </w:t>
      </w:r>
    </w:p>
    <w:p w14:paraId="0489722F" w14:textId="77777777"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Contrary to the hypothesis 8 which is there is a significant positive relationship between the</w:t>
      </w:r>
      <w:r w:rsidRPr="00985BDC">
        <w:rPr>
          <w:rFonts w:ascii="Times New Roman" w:hAnsi="Times New Roman" w:cs="Times New Roman"/>
          <w:sz w:val="24"/>
          <w:szCs w:val="24"/>
        </w:rPr>
        <w:t xml:space="preserve"> religious belief</w:t>
      </w:r>
      <w:r w:rsidRPr="00985BDC">
        <w:rPr>
          <w:rFonts w:ascii="Times New Roman" w:hAnsi="Times New Roman" w:cs="Times New Roman"/>
          <w:b/>
          <w:sz w:val="24"/>
          <w:szCs w:val="24"/>
        </w:rPr>
        <w:t xml:space="preserve"> </w:t>
      </w:r>
      <w:r w:rsidRPr="00985BDC">
        <w:rPr>
          <w:rFonts w:ascii="Times New Roman" w:hAnsi="Times New Roman" w:cs="Times New Roman"/>
          <w:sz w:val="24"/>
          <w:szCs w:val="24"/>
        </w:rPr>
        <w:t>and</w:t>
      </w:r>
      <w:r w:rsidRPr="00985BDC">
        <w:rPr>
          <w:rFonts w:ascii="Times New Roman" w:eastAsia="Times New Roman" w:hAnsi="Times New Roman" w:cs="Times New Roman"/>
          <w:sz w:val="24"/>
          <w:szCs w:val="24"/>
        </w:rPr>
        <w:t xml:space="preserve"> customer switching behaviour in investment banking sector, the findings of this study show the religious belief does not significantly affect the customer </w:t>
      </w:r>
      <w:r w:rsidRPr="00985BDC">
        <w:rPr>
          <w:rFonts w:ascii="Times New Roman" w:eastAsia="Times New Roman" w:hAnsi="Times New Roman" w:cs="Times New Roman"/>
          <w:sz w:val="24"/>
          <w:szCs w:val="24"/>
        </w:rPr>
        <w:lastRenderedPageBreak/>
        <w:t xml:space="preserve">switching behaviour. This bring forward that customers with high levels of religiosity are more likely to display lower of switching behaviour that those lower levels of religiosity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10.1080/08961530.2013.803901","author":[{"dropping-particle":"","family":"Choi","given":"Youngtae","non-dropping-particle":"","parse-names":false,"suffix":""},{"dropping-particle":"","family":"Paulraj","given":"Antony","non-dropping-particle":"","parse-names":false,"suffix":""},{"dropping-particle":"","family":"Shin","given":"Jongkuk","non-dropping-particle":"","parse-names":false,"suffix":""}],"id":"ITEM-1","issue":"November 2014","issued":{"date-parts":[["0"]]},"page":"37-41","title":"Journal of International Consumer Marketing Religion or Religiosity : Which Is the Culprit for Consumer Switching Behavior ? Religion or Religiosity : Which Is the Culprit for Consumer Switching Behavior ?","type":"article-journal"},"uris":["http://www.mendeley.com/documents/?uuid=ce52af80-35ba-4c94-ab84-07c1c24c77cd"]}],"mendeley":{"formattedCitation":"(Choi, Paulraj, &amp; Shin, n.d.)","plainTextFormattedCitation":"(Choi, Paulraj, &amp; Shin, n.d.)","previouslyFormattedCitation":"(Choi, Paulraj, &amp; Shin, n.d.)"},"properties":{"noteIndex":0},"schema":"https://github.com/citation-style-language/schema/raw/master/csl-citation.json"}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(Choi, Paulraj, &amp; Shin, n.d.)</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However , this findings is not in line with previous research of </w:t>
      </w:r>
      <w:r w:rsidRPr="00985BDC">
        <w:rPr>
          <w:rFonts w:ascii="Times New Roman" w:eastAsia="Times New Roman" w:hAnsi="Times New Roman" w:cs="Times New Roman"/>
          <w:sz w:val="24"/>
          <w:szCs w:val="24"/>
        </w:rPr>
        <w:fldChar w:fldCharType="begin" w:fldLock="1"/>
      </w:r>
      <w:r w:rsidRPr="00985BDC">
        <w:rPr>
          <w:rFonts w:ascii="Times New Roman" w:eastAsia="Times New Roman" w:hAnsi="Times New Roman" w:cs="Times New Roman"/>
          <w:sz w:val="24"/>
          <w:szCs w:val="24"/>
        </w:rPr>
        <w:instrText>ADDIN CSL_CITATION {"citationItems":[{"id":"ITEM-1","itemData":{"DOI":"10.5829/idosi.mejsr.2014.21.09.21737","author":[{"dropping-particle":"","family":"Saeed","given":"Munazza","non-dropping-particle":"","parse-names":false,"suffix":""},{"dropping-particle":"","family":"Binti","given":"Ilhaamie","non-dropping-particle":"","parse-names":false,"suffix":""},{"dropping-particle":"","family":"Ghani","given":"Abdul","non-dropping-particle":"","parse-names":false,"suffix":""}],"id":"ITEM-1","issue":"9","issued":{"date-parts":[["2014"]]},"page":"1611-1617","title":"Religion and Brand Switching Behavior of Muslim Consumers","type":"article-journal","volume":"21"},"uris":["http://www.mendeley.com/documents/?uuid=bc2d226e-4a0d-4dd2-b14a-38b807b0951f"]}],"mendeley":{"formattedCitation":"(Saeed, Binti, &amp; Ghani, 2014)","plainTextFormattedCitation":"(Saeed, Binti, &amp; Ghani, 2014)","previouslyFormattedCitation":"(Saeed, Binti, &amp; Ghani, 2014)"},"properties":{"noteIndex":0},"schema":"https://github.com/citation-style-language/schema/raw/master/csl-citation.json"}</w:instrText>
      </w:r>
      <w:r w:rsidRPr="00985BDC">
        <w:rPr>
          <w:rFonts w:ascii="Times New Roman" w:eastAsia="Times New Roman" w:hAnsi="Times New Roman" w:cs="Times New Roman"/>
          <w:sz w:val="24"/>
          <w:szCs w:val="24"/>
        </w:rPr>
        <w:fldChar w:fldCharType="separate"/>
      </w:r>
      <w:r w:rsidRPr="00985BDC">
        <w:rPr>
          <w:rFonts w:ascii="Times New Roman" w:eastAsia="Times New Roman" w:hAnsi="Times New Roman" w:cs="Times New Roman"/>
          <w:noProof/>
          <w:sz w:val="24"/>
          <w:szCs w:val="24"/>
        </w:rPr>
        <w:t>(Saeed, Binti, &amp; Ghani, 2014)</w:t>
      </w:r>
      <w:r w:rsidRPr="00985BDC">
        <w:rPr>
          <w:rFonts w:ascii="Times New Roman" w:eastAsia="Times New Roman" w:hAnsi="Times New Roman" w:cs="Times New Roman"/>
          <w:sz w:val="24"/>
          <w:szCs w:val="24"/>
        </w:rPr>
        <w:fldChar w:fldCharType="end"/>
      </w:r>
      <w:r w:rsidRPr="00985BDC">
        <w:rPr>
          <w:rFonts w:ascii="Times New Roman" w:eastAsia="Times New Roman" w:hAnsi="Times New Roman" w:cs="Times New Roman"/>
          <w:sz w:val="24"/>
          <w:szCs w:val="24"/>
        </w:rPr>
        <w:t xml:space="preserve"> which has a positive significantly relationship between religion and brand switching behaviour. The data sample of that study is carried out in Pakistan which is 98% of the people are practicing Islam while Malaysia is multi-cultural country where only range of 60% is Muslim while other consists of Indian, Chinese and other races such as Kadazan, Iban and Melanau.</w:t>
      </w:r>
    </w:p>
    <w:p w14:paraId="27EE1585" w14:textId="77777777" w:rsidR="002D4E28" w:rsidRPr="00985BDC" w:rsidRDefault="002D4E28" w:rsidP="00CF29E2">
      <w:pPr>
        <w:spacing w:line="240" w:lineRule="auto"/>
        <w:ind w:firstLine="720"/>
        <w:jc w:val="both"/>
        <w:rPr>
          <w:rFonts w:ascii="Times New Roman" w:eastAsia="Times New Roman" w:hAnsi="Times New Roman" w:cs="Times New Roman"/>
          <w:sz w:val="24"/>
          <w:szCs w:val="24"/>
        </w:rPr>
      </w:pPr>
      <w:r w:rsidRPr="00985BDC">
        <w:rPr>
          <w:rFonts w:ascii="Times New Roman" w:eastAsia="Times New Roman" w:hAnsi="Times New Roman" w:cs="Times New Roman"/>
          <w:sz w:val="24"/>
          <w:szCs w:val="24"/>
        </w:rPr>
        <w:t xml:space="preserve">  Most of the research highlight on the relationship among the religion and behaviour and found that religion strongly influence a person’s emotional experience, thoughts, attitude and psychological well-being (Chamberlain &amp; Zika,1992; McDaniel &amp; Burnett,1990; Pollner,1989; Witter et al.,1985). This is one of the reasons the finding of this study is more likely to become negative relationship. Most of the respondents are from Malay which is practicing Islam. Therefore, most of them are prefer not to switch. </w:t>
      </w:r>
    </w:p>
    <w:p w14:paraId="73BC5BBE" w14:textId="450E8ECC" w:rsidR="002D4E28" w:rsidRPr="00985BDC" w:rsidRDefault="002D4E28" w:rsidP="00FD225C">
      <w:pPr>
        <w:pStyle w:val="Heading1"/>
        <w:spacing w:line="240" w:lineRule="auto"/>
        <w:jc w:val="center"/>
        <w:rPr>
          <w:rFonts w:ascii="Times New Roman" w:hAnsi="Times New Roman" w:cs="Times New Roman"/>
          <w:b/>
          <w:color w:val="auto"/>
          <w:sz w:val="24"/>
          <w:szCs w:val="24"/>
        </w:rPr>
      </w:pPr>
      <w:bookmarkStart w:id="13" w:name="_Toc8645948"/>
      <w:r w:rsidRPr="00985BDC">
        <w:rPr>
          <w:rFonts w:ascii="Times New Roman" w:hAnsi="Times New Roman" w:cs="Times New Roman"/>
          <w:b/>
          <w:color w:val="auto"/>
          <w:sz w:val="24"/>
          <w:szCs w:val="24"/>
        </w:rPr>
        <w:t>CONCLUSION</w:t>
      </w:r>
      <w:bookmarkEnd w:id="13"/>
    </w:p>
    <w:p w14:paraId="798AD750" w14:textId="77777777" w:rsidR="00985BDC" w:rsidRPr="00985BDC" w:rsidRDefault="00985BDC" w:rsidP="00985BDC">
      <w:pPr>
        <w:spacing w:line="240" w:lineRule="auto"/>
        <w:jc w:val="both"/>
        <w:rPr>
          <w:rFonts w:ascii="Times New Roman" w:hAnsi="Times New Roman" w:cs="Times New Roman"/>
          <w:sz w:val="24"/>
          <w:szCs w:val="24"/>
        </w:rPr>
      </w:pPr>
    </w:p>
    <w:p w14:paraId="52FA0AAD" w14:textId="471B6F84" w:rsidR="002D4E28" w:rsidRPr="00985BDC" w:rsidRDefault="0084268E" w:rsidP="0084268E">
      <w:pPr>
        <w:spacing w:line="240" w:lineRule="auto"/>
        <w:ind w:firstLine="720"/>
        <w:jc w:val="both"/>
        <w:rPr>
          <w:rFonts w:ascii="Times New Roman" w:hAnsi="Times New Roman" w:cs="Times New Roman"/>
          <w:sz w:val="24"/>
          <w:szCs w:val="24"/>
        </w:rPr>
      </w:pPr>
      <w:r w:rsidRPr="00985BDC">
        <w:rPr>
          <w:rFonts w:ascii="Times New Roman" w:hAnsi="Times New Roman" w:cs="Times New Roman"/>
          <w:sz w:val="24"/>
          <w:szCs w:val="24"/>
        </w:rPr>
        <w:t>Identifying and understanding these factors grant manager of the banks and marketer to path their effort and source of information into the most productive and efficient techniques to avoid customer from switching banks and then reducing bank profits.</w:t>
      </w:r>
      <w:r>
        <w:rPr>
          <w:rFonts w:ascii="Times New Roman" w:hAnsi="Times New Roman" w:cs="Times New Roman"/>
          <w:sz w:val="24"/>
          <w:szCs w:val="24"/>
        </w:rPr>
        <w:t xml:space="preserve"> </w:t>
      </w:r>
      <w:r w:rsidR="002D4E28" w:rsidRPr="00985BDC">
        <w:rPr>
          <w:rFonts w:ascii="Times New Roman" w:hAnsi="Times New Roman" w:cs="Times New Roman"/>
          <w:sz w:val="24"/>
          <w:szCs w:val="24"/>
        </w:rPr>
        <w:t xml:space="preserve">This explanatory study undertaken in Malaysia identifies eight key factors that impact the investment banking of Malaysia specifically Tabung Haji and Amanah Saham Nasional Berhad (ASNB). The results of the multiple regression </w:t>
      </w:r>
      <w:r w:rsidRPr="00985BDC">
        <w:rPr>
          <w:rFonts w:ascii="Times New Roman" w:hAnsi="Times New Roman" w:cs="Times New Roman"/>
          <w:sz w:val="24"/>
          <w:szCs w:val="24"/>
        </w:rPr>
        <w:t>show</w:t>
      </w:r>
      <w:r w:rsidR="002D4E28" w:rsidRPr="00985BDC">
        <w:rPr>
          <w:rFonts w:ascii="Times New Roman" w:hAnsi="Times New Roman" w:cs="Times New Roman"/>
          <w:sz w:val="24"/>
          <w:szCs w:val="24"/>
        </w:rPr>
        <w:t xml:space="preserve"> that the factors vary in their order of their probability on bank switching. </w:t>
      </w:r>
      <w:r>
        <w:rPr>
          <w:rFonts w:ascii="Times New Roman" w:hAnsi="Times New Roman" w:cs="Times New Roman"/>
          <w:sz w:val="24"/>
          <w:szCs w:val="24"/>
        </w:rPr>
        <w:t>However, it was found that all the factors (</w:t>
      </w:r>
      <w:r w:rsidRPr="00985BDC">
        <w:rPr>
          <w:rFonts w:ascii="Times New Roman" w:hAnsi="Times New Roman" w:cs="Times New Roman"/>
          <w:spacing w:val="5"/>
          <w:sz w:val="24"/>
          <w:szCs w:val="24"/>
          <w:shd w:val="clear" w:color="auto" w:fill="FFFFFF"/>
        </w:rPr>
        <w:t>reputation, switching cost, services quality, religious belief, switching cost, involuntary switching, distance and price</w:t>
      </w:r>
      <w:r>
        <w:rPr>
          <w:rFonts w:ascii="Times New Roman" w:hAnsi="Times New Roman" w:cs="Times New Roman"/>
          <w:spacing w:val="5"/>
          <w:sz w:val="24"/>
          <w:szCs w:val="24"/>
          <w:shd w:val="clear" w:color="auto" w:fill="FFFFFF"/>
        </w:rPr>
        <w:t>)</w:t>
      </w:r>
      <w:r w:rsidRPr="00985BDC">
        <w:rPr>
          <w:rFonts w:ascii="Times New Roman" w:hAnsi="Times New Roman" w:cs="Times New Roman"/>
          <w:spacing w:val="5"/>
          <w:sz w:val="24"/>
          <w:szCs w:val="24"/>
          <w:shd w:val="clear" w:color="auto" w:fill="FFFFFF"/>
        </w:rPr>
        <w:t xml:space="preserve"> </w:t>
      </w:r>
      <w:r>
        <w:rPr>
          <w:rFonts w:ascii="Times New Roman" w:hAnsi="Times New Roman" w:cs="Times New Roman"/>
          <w:sz w:val="24"/>
          <w:szCs w:val="24"/>
        </w:rPr>
        <w:t xml:space="preserve">predicted in this study does not significantly affect the customers switching behaviours. </w:t>
      </w:r>
    </w:p>
    <w:p w14:paraId="006AD9CF" w14:textId="195D550F" w:rsidR="00985BDC" w:rsidRDefault="0084268E" w:rsidP="0084268E">
      <w:pPr>
        <w:spacing w:line="240" w:lineRule="auto"/>
        <w:ind w:firstLine="720"/>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Nevertheless, it is worth to indicate that</w:t>
      </w:r>
      <w:r w:rsidR="00985BDC" w:rsidRPr="00985BDC">
        <w:rPr>
          <w:rFonts w:ascii="Times New Roman" w:hAnsi="Times New Roman" w:cs="Times New Roman"/>
          <w:spacing w:val="5"/>
          <w:sz w:val="24"/>
          <w:szCs w:val="24"/>
          <w:shd w:val="clear" w:color="auto" w:fill="FFFFFF"/>
        </w:rPr>
        <w:t>, reputation, switching cost and services quality is the most dominant types of factor that influence the customer to switch banks between Tabung Haji an</w:t>
      </w:r>
      <w:r w:rsidR="00FD225C">
        <w:rPr>
          <w:rFonts w:ascii="Times New Roman" w:hAnsi="Times New Roman" w:cs="Times New Roman"/>
          <w:spacing w:val="5"/>
          <w:sz w:val="24"/>
          <w:szCs w:val="24"/>
          <w:shd w:val="clear" w:color="auto" w:fill="FFFFFF"/>
        </w:rPr>
        <w:t>d ASNB</w:t>
      </w:r>
      <w:r w:rsidR="00985BDC" w:rsidRPr="00985BDC">
        <w:rPr>
          <w:rFonts w:ascii="Times New Roman" w:hAnsi="Times New Roman" w:cs="Times New Roman"/>
          <w:spacing w:val="5"/>
          <w:sz w:val="24"/>
          <w:szCs w:val="24"/>
          <w:shd w:val="clear" w:color="auto" w:fill="FFFFFF"/>
        </w:rPr>
        <w:t xml:space="preserve">. These variables were found to be the have the highest coefficient of beta which is indicate that the reasons most customer to switch bank. Meanwhile, religious belief, switching cost, involuntary switching, distance and price variables are factors that are less influential. </w:t>
      </w:r>
    </w:p>
    <w:p w14:paraId="68B391FA" w14:textId="77777777" w:rsidR="0084268E" w:rsidRPr="00FD225C" w:rsidRDefault="0084268E" w:rsidP="00985BDC">
      <w:pPr>
        <w:spacing w:line="240" w:lineRule="auto"/>
        <w:jc w:val="both"/>
        <w:rPr>
          <w:rFonts w:ascii="Times New Roman" w:hAnsi="Times New Roman" w:cs="Times New Roman"/>
          <w:spacing w:val="5"/>
          <w:sz w:val="24"/>
          <w:szCs w:val="24"/>
          <w:shd w:val="clear" w:color="auto" w:fill="FFFFFF"/>
        </w:rPr>
      </w:pPr>
    </w:p>
    <w:p w14:paraId="5D787BA4" w14:textId="397E899B" w:rsidR="002D4E28" w:rsidRPr="00FD225C" w:rsidRDefault="002D4E28" w:rsidP="00CF29E2">
      <w:pPr>
        <w:pStyle w:val="Heading2"/>
        <w:rPr>
          <w:i/>
          <w:sz w:val="24"/>
          <w:szCs w:val="24"/>
          <w:shd w:val="clear" w:color="auto" w:fill="FFFFFF"/>
        </w:rPr>
      </w:pPr>
      <w:bookmarkStart w:id="14" w:name="_Toc8645958"/>
      <w:r w:rsidRPr="00FD225C">
        <w:rPr>
          <w:i/>
          <w:sz w:val="24"/>
          <w:szCs w:val="24"/>
          <w:shd w:val="clear" w:color="auto" w:fill="FFFFFF"/>
        </w:rPr>
        <w:t>Limitation of Study</w:t>
      </w:r>
      <w:bookmarkEnd w:id="14"/>
    </w:p>
    <w:p w14:paraId="722C38E3" w14:textId="63D2AAB5" w:rsidR="002D4E28" w:rsidRPr="00985BDC" w:rsidRDefault="002D4E28" w:rsidP="0084268E">
      <w:pPr>
        <w:spacing w:line="240" w:lineRule="auto"/>
        <w:ind w:firstLine="720"/>
        <w:jc w:val="both"/>
        <w:rPr>
          <w:rFonts w:ascii="Times New Roman" w:hAnsi="Times New Roman" w:cs="Times New Roman"/>
          <w:spacing w:val="5"/>
          <w:sz w:val="24"/>
          <w:szCs w:val="24"/>
          <w:shd w:val="clear" w:color="auto" w:fill="FFFFFF"/>
        </w:rPr>
      </w:pPr>
      <w:r w:rsidRPr="00985BDC">
        <w:rPr>
          <w:rFonts w:ascii="Times New Roman" w:hAnsi="Times New Roman" w:cs="Times New Roman"/>
          <w:spacing w:val="5"/>
          <w:sz w:val="24"/>
          <w:szCs w:val="24"/>
          <w:shd w:val="clear" w:color="auto" w:fill="FFFFFF"/>
        </w:rPr>
        <w:t xml:space="preserve">Major of the races which if from Chinese, Indian as well as other races such as Kadazan, Dusun, Melanau and Iban </w:t>
      </w:r>
      <w:r w:rsidR="0084268E">
        <w:rPr>
          <w:rFonts w:ascii="Times New Roman" w:hAnsi="Times New Roman" w:cs="Times New Roman"/>
          <w:spacing w:val="5"/>
          <w:sz w:val="24"/>
          <w:szCs w:val="24"/>
          <w:shd w:val="clear" w:color="auto" w:fill="FFFFFF"/>
        </w:rPr>
        <w:t>was taken</w:t>
      </w:r>
      <w:r w:rsidRPr="00985BDC">
        <w:rPr>
          <w:rFonts w:ascii="Times New Roman" w:hAnsi="Times New Roman" w:cs="Times New Roman"/>
          <w:spacing w:val="5"/>
          <w:sz w:val="24"/>
          <w:szCs w:val="24"/>
          <w:shd w:val="clear" w:color="auto" w:fill="FFFFFF"/>
        </w:rPr>
        <w:t xml:space="preserve"> from </w:t>
      </w:r>
      <w:r w:rsidR="0084268E">
        <w:rPr>
          <w:rFonts w:ascii="Times New Roman" w:hAnsi="Times New Roman" w:cs="Times New Roman"/>
          <w:spacing w:val="5"/>
          <w:sz w:val="24"/>
          <w:szCs w:val="24"/>
          <w:shd w:val="clear" w:color="auto" w:fill="FFFFFF"/>
        </w:rPr>
        <w:t>various religion. Therefore, the limitations in their chosen investment banking like Tabung Haji cannot be predicted accordingly since non-muslims may not choose that investment option. Accordingly, we</w:t>
      </w:r>
      <w:r w:rsidRPr="00985BDC">
        <w:rPr>
          <w:rFonts w:ascii="Times New Roman" w:hAnsi="Times New Roman" w:cs="Times New Roman"/>
          <w:spacing w:val="5"/>
          <w:sz w:val="24"/>
          <w:szCs w:val="24"/>
          <w:shd w:val="clear" w:color="auto" w:fill="FFFFFF"/>
        </w:rPr>
        <w:t xml:space="preserve"> believe that future research with </w:t>
      </w:r>
      <w:r w:rsidR="0084268E">
        <w:rPr>
          <w:rFonts w:ascii="Times New Roman" w:hAnsi="Times New Roman" w:cs="Times New Roman"/>
          <w:spacing w:val="5"/>
          <w:sz w:val="24"/>
          <w:szCs w:val="24"/>
          <w:shd w:val="clear" w:color="auto" w:fill="FFFFFF"/>
        </w:rPr>
        <w:t xml:space="preserve">different choices of investment accounts from </w:t>
      </w:r>
      <w:r w:rsidRPr="00985BDC">
        <w:rPr>
          <w:rFonts w:ascii="Times New Roman" w:hAnsi="Times New Roman" w:cs="Times New Roman"/>
          <w:spacing w:val="5"/>
          <w:sz w:val="24"/>
          <w:szCs w:val="24"/>
          <w:shd w:val="clear" w:color="auto" w:fill="FFFFFF"/>
        </w:rPr>
        <w:t>all major religion equally could substantially further the generalization of the findings in this study.</w:t>
      </w:r>
    </w:p>
    <w:p w14:paraId="5CBB2E7B" w14:textId="06B2AD33" w:rsidR="002D4E28" w:rsidRPr="00985BDC" w:rsidRDefault="002D4E28" w:rsidP="0084268E">
      <w:pPr>
        <w:spacing w:line="240" w:lineRule="auto"/>
        <w:ind w:firstLine="720"/>
        <w:jc w:val="both"/>
        <w:rPr>
          <w:rFonts w:ascii="Times New Roman" w:hAnsi="Times New Roman" w:cs="Times New Roman"/>
          <w:spacing w:val="5"/>
          <w:sz w:val="24"/>
          <w:szCs w:val="24"/>
          <w:shd w:val="clear" w:color="auto" w:fill="FFFFFF"/>
        </w:rPr>
      </w:pPr>
      <w:r w:rsidRPr="00985BDC">
        <w:rPr>
          <w:rFonts w:ascii="Times New Roman" w:hAnsi="Times New Roman" w:cs="Times New Roman"/>
          <w:spacing w:val="5"/>
          <w:sz w:val="24"/>
          <w:szCs w:val="24"/>
          <w:shd w:val="clear" w:color="auto" w:fill="FFFFFF"/>
        </w:rPr>
        <w:t xml:space="preserve">The sample size of the study consists of 130 respondents. The sample size is still less compared to other research studies done and the factor may change the accuracy of the findings. However, according to Roscoe (1975) that proposed the rules of thumb which the sample larger than 30 and less than 500 are appropriate for most research. Thus, this study sample is appropriate for this study and future reference. </w:t>
      </w:r>
    </w:p>
    <w:p w14:paraId="4AB908F2" w14:textId="5154D76C" w:rsidR="00985BDC" w:rsidRPr="00985BDC" w:rsidRDefault="002D4E28" w:rsidP="0084268E">
      <w:pPr>
        <w:spacing w:line="240" w:lineRule="auto"/>
        <w:ind w:firstLine="720"/>
        <w:jc w:val="both"/>
        <w:rPr>
          <w:rFonts w:ascii="Times New Roman" w:hAnsi="Times New Roman" w:cs="Times New Roman"/>
          <w:b/>
          <w:spacing w:val="5"/>
          <w:sz w:val="24"/>
          <w:szCs w:val="24"/>
          <w:shd w:val="clear" w:color="auto" w:fill="FFFFFF"/>
        </w:rPr>
      </w:pPr>
      <w:r w:rsidRPr="00985BDC">
        <w:rPr>
          <w:rFonts w:ascii="Times New Roman" w:hAnsi="Times New Roman" w:cs="Times New Roman"/>
          <w:spacing w:val="5"/>
          <w:sz w:val="24"/>
          <w:szCs w:val="24"/>
          <w:shd w:val="clear" w:color="auto" w:fill="FFFFFF"/>
        </w:rPr>
        <w:lastRenderedPageBreak/>
        <w:t xml:space="preserve">Besides that, sampling issues is also the limitation of this study. The distribution of the data is through the online survey invitations which were distributed in the social media approach such as Facebook and WhatsApp application. The tendency of some individuals to respond to an invitation to participate in an online survey, while others just ignore it. Then, the response rates of this collection data are quite low. This also hinder </w:t>
      </w:r>
      <w:r w:rsidR="0084268E">
        <w:rPr>
          <w:rFonts w:ascii="Times New Roman" w:hAnsi="Times New Roman" w:cs="Times New Roman"/>
          <w:spacing w:val="5"/>
          <w:sz w:val="24"/>
          <w:szCs w:val="24"/>
          <w:shd w:val="clear" w:color="auto" w:fill="FFFFFF"/>
        </w:rPr>
        <w:t xml:space="preserve">the </w:t>
      </w:r>
      <w:r w:rsidRPr="00985BDC">
        <w:rPr>
          <w:rFonts w:ascii="Times New Roman" w:hAnsi="Times New Roman" w:cs="Times New Roman"/>
          <w:spacing w:val="5"/>
          <w:sz w:val="24"/>
          <w:szCs w:val="24"/>
          <w:shd w:val="clear" w:color="auto" w:fill="FFFFFF"/>
        </w:rPr>
        <w:t>ability to generalize the finding in this study.</w:t>
      </w:r>
      <w:bookmarkStart w:id="15" w:name="_Toc8645959"/>
    </w:p>
    <w:p w14:paraId="6F2EC8EA" w14:textId="5499DD2F" w:rsidR="002D4E28" w:rsidRPr="00FD225C" w:rsidRDefault="002D4E28" w:rsidP="00985BDC">
      <w:pPr>
        <w:spacing w:line="240" w:lineRule="auto"/>
        <w:jc w:val="both"/>
        <w:rPr>
          <w:rFonts w:ascii="Times New Roman" w:hAnsi="Times New Roman" w:cs="Times New Roman"/>
          <w:b/>
          <w:i/>
          <w:spacing w:val="5"/>
          <w:sz w:val="24"/>
          <w:szCs w:val="24"/>
          <w:shd w:val="clear" w:color="auto" w:fill="FFFFFF"/>
        </w:rPr>
      </w:pPr>
      <w:r w:rsidRPr="00FD225C">
        <w:rPr>
          <w:rFonts w:ascii="Times New Roman" w:hAnsi="Times New Roman" w:cs="Times New Roman"/>
          <w:b/>
          <w:i/>
          <w:sz w:val="24"/>
          <w:szCs w:val="24"/>
          <w:shd w:val="clear" w:color="auto" w:fill="FFFFFF"/>
        </w:rPr>
        <w:t>Recommendations</w:t>
      </w:r>
      <w:bookmarkEnd w:id="15"/>
    </w:p>
    <w:p w14:paraId="70DEA820" w14:textId="77777777" w:rsidR="002D4E28" w:rsidRPr="00985BDC" w:rsidRDefault="002D4E28" w:rsidP="00CF29E2">
      <w:pPr>
        <w:spacing w:line="240" w:lineRule="auto"/>
        <w:jc w:val="both"/>
        <w:rPr>
          <w:rFonts w:ascii="Times New Roman" w:hAnsi="Times New Roman" w:cs="Times New Roman"/>
          <w:spacing w:val="5"/>
          <w:sz w:val="24"/>
          <w:szCs w:val="24"/>
          <w:shd w:val="clear" w:color="auto" w:fill="FFFFFF"/>
        </w:rPr>
      </w:pPr>
      <w:r w:rsidRPr="00985BDC">
        <w:rPr>
          <w:rFonts w:ascii="Times New Roman" w:hAnsi="Times New Roman" w:cs="Times New Roman"/>
          <w:spacing w:val="5"/>
          <w:sz w:val="24"/>
          <w:szCs w:val="24"/>
          <w:shd w:val="clear" w:color="auto" w:fill="FFFFFF"/>
        </w:rPr>
        <w:t>Based on the findings of the study, the following recommendations were made</w:t>
      </w:r>
    </w:p>
    <w:p w14:paraId="28E4BBDA" w14:textId="77777777" w:rsidR="002D4E28" w:rsidRPr="00985BDC" w:rsidRDefault="002D4E28" w:rsidP="00CF29E2">
      <w:pPr>
        <w:pStyle w:val="ListParagraph"/>
        <w:numPr>
          <w:ilvl w:val="0"/>
          <w:numId w:val="8"/>
        </w:numPr>
        <w:spacing w:line="240" w:lineRule="auto"/>
        <w:jc w:val="both"/>
        <w:rPr>
          <w:rFonts w:ascii="Times New Roman" w:hAnsi="Times New Roman" w:cs="Times New Roman"/>
          <w:spacing w:val="5"/>
          <w:sz w:val="24"/>
          <w:szCs w:val="24"/>
          <w:shd w:val="clear" w:color="auto" w:fill="FFFFFF"/>
        </w:rPr>
      </w:pPr>
      <w:r w:rsidRPr="00985BDC">
        <w:rPr>
          <w:rFonts w:ascii="Times New Roman" w:hAnsi="Times New Roman" w:cs="Times New Roman"/>
          <w:spacing w:val="5"/>
          <w:sz w:val="24"/>
          <w:szCs w:val="24"/>
          <w:shd w:val="clear" w:color="auto" w:fill="FFFFFF"/>
        </w:rPr>
        <w:t>The reputation and image of the companies should be monitored to make sure that there is no negative declaration that may stimulate customer switching bank</w:t>
      </w:r>
    </w:p>
    <w:p w14:paraId="6A076725" w14:textId="38D936D1" w:rsidR="002D4E28" w:rsidRPr="00985BDC" w:rsidRDefault="002D4E28" w:rsidP="00CF29E2">
      <w:pPr>
        <w:pStyle w:val="ListParagraph"/>
        <w:numPr>
          <w:ilvl w:val="0"/>
          <w:numId w:val="8"/>
        </w:numPr>
        <w:spacing w:line="240" w:lineRule="auto"/>
        <w:jc w:val="both"/>
        <w:rPr>
          <w:rFonts w:ascii="Times New Roman" w:hAnsi="Times New Roman" w:cs="Times New Roman"/>
          <w:spacing w:val="5"/>
          <w:sz w:val="24"/>
          <w:szCs w:val="24"/>
          <w:shd w:val="clear" w:color="auto" w:fill="FFFFFF"/>
        </w:rPr>
      </w:pPr>
      <w:r w:rsidRPr="00985BDC">
        <w:rPr>
          <w:rFonts w:ascii="Times New Roman" w:hAnsi="Times New Roman" w:cs="Times New Roman"/>
          <w:spacing w:val="5"/>
          <w:sz w:val="24"/>
          <w:szCs w:val="24"/>
          <w:shd w:val="clear" w:color="auto" w:fill="FFFFFF"/>
        </w:rPr>
        <w:t xml:space="preserve">The service quality of the financial institutions may drive the customer to switch or attracted to particular banks. Therefore, </w:t>
      </w:r>
      <w:r w:rsidR="0084268E">
        <w:rPr>
          <w:rFonts w:ascii="Times New Roman" w:hAnsi="Times New Roman" w:cs="Times New Roman"/>
          <w:spacing w:val="5"/>
          <w:sz w:val="24"/>
          <w:szCs w:val="24"/>
          <w:shd w:val="clear" w:color="auto" w:fill="FFFFFF"/>
        </w:rPr>
        <w:t xml:space="preserve">it </w:t>
      </w:r>
      <w:r w:rsidRPr="00985BDC">
        <w:rPr>
          <w:rFonts w:ascii="Times New Roman" w:hAnsi="Times New Roman" w:cs="Times New Roman"/>
          <w:spacing w:val="5"/>
          <w:sz w:val="24"/>
          <w:szCs w:val="24"/>
          <w:shd w:val="clear" w:color="auto" w:fill="FFFFFF"/>
        </w:rPr>
        <w:t xml:space="preserve">will help </w:t>
      </w:r>
      <w:r w:rsidR="0084268E">
        <w:rPr>
          <w:rFonts w:ascii="Times New Roman" w:hAnsi="Times New Roman" w:cs="Times New Roman"/>
          <w:spacing w:val="5"/>
          <w:sz w:val="24"/>
          <w:szCs w:val="24"/>
          <w:shd w:val="clear" w:color="auto" w:fill="FFFFFF"/>
        </w:rPr>
        <w:t xml:space="preserve">to </w:t>
      </w:r>
      <w:r w:rsidRPr="00985BDC">
        <w:rPr>
          <w:rFonts w:ascii="Times New Roman" w:hAnsi="Times New Roman" w:cs="Times New Roman"/>
          <w:spacing w:val="5"/>
          <w:sz w:val="24"/>
          <w:szCs w:val="24"/>
          <w:shd w:val="clear" w:color="auto" w:fill="FFFFFF"/>
        </w:rPr>
        <w:t xml:space="preserve">enhance customer satisfaction and the earning and profitability of the banks can rising the GDP of state and Malaysia at large. </w:t>
      </w:r>
    </w:p>
    <w:p w14:paraId="390CE530" w14:textId="77777777" w:rsidR="002D4E28" w:rsidRPr="00985BDC" w:rsidRDefault="002D4E28" w:rsidP="00CF29E2">
      <w:pPr>
        <w:pStyle w:val="ListParagraph"/>
        <w:numPr>
          <w:ilvl w:val="0"/>
          <w:numId w:val="8"/>
        </w:numPr>
        <w:spacing w:line="240" w:lineRule="auto"/>
        <w:jc w:val="both"/>
        <w:rPr>
          <w:rFonts w:ascii="Times New Roman" w:hAnsi="Times New Roman" w:cs="Times New Roman"/>
          <w:spacing w:val="5"/>
          <w:sz w:val="24"/>
          <w:szCs w:val="24"/>
          <w:shd w:val="clear" w:color="auto" w:fill="FFFFFF"/>
        </w:rPr>
      </w:pPr>
      <w:r w:rsidRPr="00985BDC">
        <w:rPr>
          <w:rFonts w:ascii="Times New Roman" w:hAnsi="Times New Roman" w:cs="Times New Roman"/>
          <w:spacing w:val="5"/>
          <w:sz w:val="24"/>
          <w:szCs w:val="24"/>
          <w:shd w:val="clear" w:color="auto" w:fill="FFFFFF"/>
        </w:rPr>
        <w:t>Although the price is not significantly important for this study, the interest and fees charged should be monitored and adequately timely information given to customers on reasons for changes.</w:t>
      </w:r>
    </w:p>
    <w:p w14:paraId="131EA4E7" w14:textId="35CE70BD" w:rsidR="002D4E28" w:rsidRDefault="002D4E28" w:rsidP="00CF29E2">
      <w:pPr>
        <w:pStyle w:val="ListParagraph"/>
        <w:numPr>
          <w:ilvl w:val="0"/>
          <w:numId w:val="8"/>
        </w:numPr>
        <w:spacing w:line="240" w:lineRule="auto"/>
        <w:jc w:val="both"/>
        <w:rPr>
          <w:rFonts w:ascii="Times New Roman" w:hAnsi="Times New Roman" w:cs="Times New Roman"/>
          <w:spacing w:val="5"/>
          <w:sz w:val="24"/>
          <w:szCs w:val="24"/>
          <w:shd w:val="clear" w:color="auto" w:fill="FFFFFF"/>
        </w:rPr>
      </w:pPr>
      <w:r w:rsidRPr="00985BDC">
        <w:rPr>
          <w:rFonts w:ascii="Times New Roman" w:hAnsi="Times New Roman" w:cs="Times New Roman"/>
          <w:spacing w:val="5"/>
          <w:sz w:val="24"/>
          <w:szCs w:val="24"/>
          <w:shd w:val="clear" w:color="auto" w:fill="FFFFFF"/>
        </w:rPr>
        <w:t>For the customer whose switching intentions are involuntary, adequate branching and corporate lobbying to upho</w:t>
      </w:r>
      <w:r w:rsidR="0084268E">
        <w:rPr>
          <w:rFonts w:ascii="Times New Roman" w:hAnsi="Times New Roman" w:cs="Times New Roman"/>
          <w:spacing w:val="5"/>
          <w:sz w:val="24"/>
          <w:szCs w:val="24"/>
          <w:shd w:val="clear" w:color="auto" w:fill="FFFFFF"/>
        </w:rPr>
        <w:t>ld the account wherever they go</w:t>
      </w:r>
      <w:r w:rsidRPr="00985BDC">
        <w:rPr>
          <w:rFonts w:ascii="Times New Roman" w:hAnsi="Times New Roman" w:cs="Times New Roman"/>
          <w:spacing w:val="5"/>
          <w:sz w:val="24"/>
          <w:szCs w:val="24"/>
          <w:shd w:val="clear" w:color="auto" w:fill="FFFFFF"/>
        </w:rPr>
        <w:t xml:space="preserve"> </w:t>
      </w:r>
      <w:r w:rsidR="0084268E">
        <w:rPr>
          <w:rFonts w:ascii="Times New Roman" w:hAnsi="Times New Roman" w:cs="Times New Roman"/>
          <w:spacing w:val="5"/>
          <w:sz w:val="24"/>
          <w:szCs w:val="24"/>
          <w:shd w:val="clear" w:color="auto" w:fill="FFFFFF"/>
        </w:rPr>
        <w:t>i</w:t>
      </w:r>
      <w:r w:rsidRPr="00985BDC">
        <w:rPr>
          <w:rFonts w:ascii="Times New Roman" w:hAnsi="Times New Roman" w:cs="Times New Roman"/>
          <w:spacing w:val="5"/>
          <w:sz w:val="24"/>
          <w:szCs w:val="24"/>
          <w:shd w:val="clear" w:color="auto" w:fill="FFFFFF"/>
        </w:rPr>
        <w:t>nternet banking can also help people nowadays to access without limit to their account.</w:t>
      </w:r>
    </w:p>
    <w:p w14:paraId="2F066A0A" w14:textId="026578F1" w:rsidR="00FD225C" w:rsidRDefault="00FD225C" w:rsidP="00FD225C">
      <w:pPr>
        <w:pStyle w:val="ListParagraph"/>
        <w:spacing w:line="240" w:lineRule="auto"/>
        <w:jc w:val="both"/>
        <w:rPr>
          <w:rFonts w:ascii="Times New Roman" w:hAnsi="Times New Roman" w:cs="Times New Roman"/>
          <w:spacing w:val="5"/>
          <w:sz w:val="24"/>
          <w:szCs w:val="24"/>
          <w:shd w:val="clear" w:color="auto" w:fill="FFFFFF"/>
        </w:rPr>
      </w:pPr>
    </w:p>
    <w:p w14:paraId="09DD6223" w14:textId="0FE792D2" w:rsidR="00FD225C" w:rsidRDefault="00FD225C" w:rsidP="00FD225C">
      <w:pPr>
        <w:pStyle w:val="ListParagraph"/>
        <w:spacing w:line="240" w:lineRule="auto"/>
        <w:jc w:val="both"/>
        <w:rPr>
          <w:rFonts w:ascii="Times New Roman" w:hAnsi="Times New Roman" w:cs="Times New Roman"/>
          <w:spacing w:val="5"/>
          <w:sz w:val="24"/>
          <w:szCs w:val="24"/>
          <w:shd w:val="clear" w:color="auto" w:fill="FFFFFF"/>
        </w:rPr>
      </w:pPr>
    </w:p>
    <w:p w14:paraId="41F84127" w14:textId="43C70290" w:rsidR="00FD225C" w:rsidRDefault="00FD225C" w:rsidP="00FD225C">
      <w:pPr>
        <w:pStyle w:val="ListParagraph"/>
        <w:spacing w:line="240" w:lineRule="auto"/>
        <w:jc w:val="both"/>
        <w:rPr>
          <w:rFonts w:ascii="Times New Roman" w:hAnsi="Times New Roman" w:cs="Times New Roman"/>
          <w:spacing w:val="5"/>
          <w:sz w:val="24"/>
          <w:szCs w:val="24"/>
          <w:shd w:val="clear" w:color="auto" w:fill="FFFFFF"/>
        </w:rPr>
      </w:pPr>
    </w:p>
    <w:p w14:paraId="44BA25D4" w14:textId="5EA7350F" w:rsidR="00FD225C" w:rsidRDefault="00FD225C" w:rsidP="00FD225C">
      <w:pPr>
        <w:pStyle w:val="ListParagraph"/>
        <w:spacing w:line="240" w:lineRule="auto"/>
        <w:jc w:val="both"/>
        <w:rPr>
          <w:rFonts w:ascii="Times New Roman" w:hAnsi="Times New Roman" w:cs="Times New Roman"/>
          <w:spacing w:val="5"/>
          <w:sz w:val="24"/>
          <w:szCs w:val="24"/>
          <w:shd w:val="clear" w:color="auto" w:fill="FFFFFF"/>
        </w:rPr>
      </w:pPr>
    </w:p>
    <w:p w14:paraId="4FAB6381" w14:textId="0CBED72D" w:rsidR="0084268E" w:rsidRDefault="0084268E" w:rsidP="00FD225C">
      <w:pPr>
        <w:pStyle w:val="ListParagraph"/>
        <w:spacing w:line="240" w:lineRule="auto"/>
        <w:jc w:val="both"/>
        <w:rPr>
          <w:rFonts w:ascii="Times New Roman" w:hAnsi="Times New Roman" w:cs="Times New Roman"/>
          <w:spacing w:val="5"/>
          <w:sz w:val="24"/>
          <w:szCs w:val="24"/>
          <w:shd w:val="clear" w:color="auto" w:fill="FFFFFF"/>
        </w:rPr>
      </w:pPr>
    </w:p>
    <w:p w14:paraId="1051924C" w14:textId="77777777" w:rsidR="0084268E" w:rsidRDefault="0084268E" w:rsidP="00FD225C">
      <w:pPr>
        <w:pStyle w:val="ListParagraph"/>
        <w:spacing w:line="240" w:lineRule="auto"/>
        <w:jc w:val="both"/>
        <w:rPr>
          <w:rFonts w:ascii="Times New Roman" w:hAnsi="Times New Roman" w:cs="Times New Roman"/>
          <w:spacing w:val="5"/>
          <w:sz w:val="24"/>
          <w:szCs w:val="24"/>
          <w:shd w:val="clear" w:color="auto" w:fill="FFFFFF"/>
        </w:rPr>
      </w:pPr>
    </w:p>
    <w:p w14:paraId="64361686" w14:textId="77777777" w:rsidR="00FD225C" w:rsidRPr="00985BDC" w:rsidRDefault="00FD225C" w:rsidP="00FD225C">
      <w:pPr>
        <w:pStyle w:val="ListParagraph"/>
        <w:spacing w:line="240" w:lineRule="auto"/>
        <w:jc w:val="both"/>
        <w:rPr>
          <w:rFonts w:ascii="Times New Roman" w:hAnsi="Times New Roman" w:cs="Times New Roman"/>
          <w:spacing w:val="5"/>
          <w:sz w:val="24"/>
          <w:szCs w:val="24"/>
          <w:shd w:val="clear" w:color="auto" w:fill="FFFFFF"/>
        </w:rPr>
      </w:pPr>
    </w:p>
    <w:p w14:paraId="291F9CFB" w14:textId="7DDE12E9" w:rsidR="002D4E28" w:rsidRPr="00985BDC" w:rsidRDefault="00FD225C" w:rsidP="00D02184">
      <w:pPr>
        <w:spacing w:line="240" w:lineRule="auto"/>
        <w:ind w:left="360" w:right="-78" w:hanging="360"/>
        <w:jc w:val="center"/>
        <w:rPr>
          <w:rFonts w:ascii="Times New Roman" w:hAnsi="Times New Roman" w:cs="Times New Roman"/>
          <w:b/>
          <w:spacing w:val="5"/>
          <w:sz w:val="24"/>
          <w:szCs w:val="24"/>
          <w:shd w:val="clear" w:color="auto" w:fill="FFFFFF"/>
        </w:rPr>
      </w:pPr>
      <w:bookmarkStart w:id="16" w:name="_Toc8645961"/>
      <w:r w:rsidRPr="00985BDC">
        <w:rPr>
          <w:rFonts w:ascii="Times New Roman" w:hAnsi="Times New Roman" w:cs="Times New Roman"/>
          <w:b/>
          <w:sz w:val="24"/>
          <w:szCs w:val="24"/>
        </w:rPr>
        <w:t>REFERENCES</w:t>
      </w:r>
      <w:bookmarkEnd w:id="16"/>
    </w:p>
    <w:p w14:paraId="3CD61F34" w14:textId="77777777" w:rsidR="002D4E28" w:rsidRPr="00985BDC" w:rsidRDefault="002D4E28" w:rsidP="00FD225C">
      <w:pPr>
        <w:spacing w:before="100" w:beforeAutospacing="1"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Aggarwal, P., &amp; Zhang, M. (2006). The Moderating Effect of Relationship Norm Salience on Consumers’ Loss Aversion: Figure 1. </w:t>
      </w:r>
      <w:r w:rsidRPr="00985BDC">
        <w:rPr>
          <w:rFonts w:ascii="Times New Roman" w:hAnsi="Times New Roman" w:cs="Times New Roman"/>
          <w:i/>
          <w:sz w:val="24"/>
          <w:szCs w:val="24"/>
        </w:rPr>
        <w:t>Journal of Consumer Research</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33</w:t>
      </w:r>
      <w:r w:rsidRPr="00985BDC">
        <w:rPr>
          <w:rFonts w:ascii="Times New Roman" w:hAnsi="Times New Roman" w:cs="Times New Roman"/>
          <w:sz w:val="24"/>
          <w:szCs w:val="24"/>
        </w:rPr>
        <w:t>(3), 413–419. https://doi.org/10.1086/508524</w:t>
      </w:r>
    </w:p>
    <w:p w14:paraId="4F76A087"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Almossawi, M. (2001), “Bank selection criteria employed by college students in Bahrain: an empirical analysis”, International Journal of Bank Marketing, Vol. 19 No. 3, pp. 115-25.</w:t>
      </w:r>
    </w:p>
    <w:p w14:paraId="14F92899"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Anjum, A., Ghouri, A.M. and Malik, M.A. (2011), “Determinants analysis of customer switching behavior in private banking sector of India”, International Journal of Information, Business and Management, Vol. 3 No. 2, pp. 156-177.</w:t>
      </w:r>
    </w:p>
    <w:p w14:paraId="359728FC" w14:textId="77777777" w:rsidR="002D4E28" w:rsidRPr="00985BDC" w:rsidRDefault="002D4E28" w:rsidP="00FD225C">
      <w:pPr>
        <w:spacing w:before="100" w:beforeAutospacing="1"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Athanassopoulos, A. D. (1997). Service quality and operating efficiency synergies for management control in the provision of financial services: Evidence from Greek bank branches. </w:t>
      </w:r>
      <w:r w:rsidRPr="00985BDC">
        <w:rPr>
          <w:rFonts w:ascii="Times New Roman" w:hAnsi="Times New Roman" w:cs="Times New Roman"/>
          <w:i/>
          <w:sz w:val="24"/>
          <w:szCs w:val="24"/>
        </w:rPr>
        <w:t>European Journal of Operational Research</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98</w:t>
      </w:r>
      <w:r w:rsidRPr="00985BDC">
        <w:rPr>
          <w:rFonts w:ascii="Times New Roman" w:hAnsi="Times New Roman" w:cs="Times New Roman"/>
          <w:sz w:val="24"/>
          <w:szCs w:val="24"/>
        </w:rPr>
        <w:t>(2), 300–313. https://doi.org/10.1016/S0377-2217(96)00349-9</w:t>
      </w:r>
    </w:p>
    <w:p w14:paraId="01BE72C4"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Bahia, K. and Nantel, J. (2000), “A reliable and valid measurement scale for the perceived service quality of banks”, International Journal of Bank Marketing, Vol. 18 No. 2, pp. 84-91.</w:t>
      </w:r>
    </w:p>
    <w:p w14:paraId="024570B2" w14:textId="77777777" w:rsidR="002D4E28" w:rsidRPr="00985BDC" w:rsidRDefault="002D4E28" w:rsidP="00FD225C">
      <w:pPr>
        <w:spacing w:before="158"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lastRenderedPageBreak/>
        <w:t xml:space="preserve">Balenovi, M. (2002). Modeling and Model-Based Control of a Three-Way Catalytic Converter door. </w:t>
      </w:r>
      <w:r w:rsidRPr="00985BDC">
        <w:rPr>
          <w:rFonts w:ascii="Times New Roman" w:hAnsi="Times New Roman" w:cs="Times New Roman"/>
          <w:i/>
          <w:sz w:val="24"/>
          <w:szCs w:val="24"/>
        </w:rPr>
        <w:t>ProQuest Dissertations and Theses</w:t>
      </w:r>
      <w:r w:rsidRPr="00985BDC">
        <w:rPr>
          <w:rFonts w:ascii="Times New Roman" w:hAnsi="Times New Roman" w:cs="Times New Roman"/>
          <w:sz w:val="24"/>
          <w:szCs w:val="24"/>
        </w:rPr>
        <w:t>. https://doi.org/10.6100/IR553634</w:t>
      </w:r>
    </w:p>
    <w:p w14:paraId="18331F62" w14:textId="77777777" w:rsidR="002D4E28" w:rsidRPr="00985BDC" w:rsidRDefault="002D4E28" w:rsidP="00FD225C">
      <w:pPr>
        <w:spacing w:before="162"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Bennett, R., &amp; Barkensjo, A. (2005). International Journal of Service Industry Management. </w:t>
      </w:r>
      <w:r w:rsidRPr="00985BDC">
        <w:rPr>
          <w:rFonts w:ascii="Times New Roman" w:hAnsi="Times New Roman" w:cs="Times New Roman"/>
          <w:i/>
          <w:sz w:val="24"/>
          <w:szCs w:val="24"/>
        </w:rPr>
        <w:t>Risk Management in a Service Business</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2</w:t>
      </w:r>
      <w:r w:rsidRPr="00985BDC">
        <w:rPr>
          <w:rFonts w:ascii="Times New Roman" w:hAnsi="Times New Roman" w:cs="Times New Roman"/>
          <w:sz w:val="24"/>
          <w:szCs w:val="24"/>
        </w:rPr>
        <w:t>(2), 81–106. https://doi.org/10.1108/09564239810199923</w:t>
      </w:r>
    </w:p>
    <w:p w14:paraId="5F45874A"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Cengiz, E., Ayyildiz, H. and Er, B. (2007), “Effects of image and adverting efficiency on customer loyalty and antecedents of loyalty: Turkish banks sample”, Banks and Bank Systems,Vol. 2 No. 1, pp. 56-80.</w:t>
      </w:r>
    </w:p>
    <w:p w14:paraId="09640491"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Chamberlain, K. and Zika, S. (1992) ‘Religiosity, meaning in life and psychological wellbeing’, in Schumacker, G.F. (Ed.): Religion and Mental Health, pp.138–148, Oxford University Press, Oxford.</w:t>
      </w:r>
    </w:p>
    <w:p w14:paraId="3EFF8546" w14:textId="77777777" w:rsidR="002D4E28" w:rsidRPr="00985BDC" w:rsidRDefault="002D4E28" w:rsidP="00FD225C">
      <w:pPr>
        <w:spacing w:before="162" w:line="240" w:lineRule="auto"/>
        <w:ind w:left="360" w:right="-78" w:hanging="360"/>
        <w:jc w:val="both"/>
        <w:rPr>
          <w:rFonts w:ascii="Times New Roman" w:hAnsi="Times New Roman" w:cs="Times New Roman"/>
          <w:i/>
          <w:sz w:val="24"/>
          <w:szCs w:val="24"/>
        </w:rPr>
      </w:pPr>
      <w:r w:rsidRPr="00985BDC">
        <w:rPr>
          <w:rFonts w:ascii="Times New Roman" w:hAnsi="Times New Roman" w:cs="Times New Roman"/>
          <w:sz w:val="24"/>
          <w:szCs w:val="24"/>
        </w:rPr>
        <w:t xml:space="preserve">Clemes, M. D., Gan, C., &amp; Zhang, D. (2010). Customer switching behaviour in the Chinese retail banking industry. </w:t>
      </w:r>
      <w:r w:rsidRPr="00985BDC">
        <w:rPr>
          <w:rFonts w:ascii="Times New Roman" w:hAnsi="Times New Roman" w:cs="Times New Roman"/>
          <w:i/>
          <w:sz w:val="24"/>
          <w:szCs w:val="24"/>
        </w:rPr>
        <w:t>International Journal of Bank Marketing</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28</w:t>
      </w:r>
      <w:r w:rsidRPr="00985BDC">
        <w:rPr>
          <w:rFonts w:ascii="Times New Roman" w:hAnsi="Times New Roman" w:cs="Times New Roman"/>
          <w:sz w:val="24"/>
          <w:szCs w:val="24"/>
        </w:rPr>
        <w:t>(7), 519–546. https://doi.org/10.1108/02652321011085185</w:t>
      </w:r>
    </w:p>
    <w:p w14:paraId="6BA8B23B"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Clemes, M.D., Gan, C. and Kao, T.H. (2007b), “University satisfaction: an empirical analysis”, Journal of Marketing for High Education, Vol. 17 No. 2, pp. 292-325.</w:t>
      </w:r>
    </w:p>
    <w:p w14:paraId="184532E6" w14:textId="77777777" w:rsidR="002D4E28" w:rsidRPr="00985BDC" w:rsidRDefault="002D4E28" w:rsidP="00FD225C">
      <w:pPr>
        <w:spacing w:before="162"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Colgate, M., &amp; Lang, B. (2001). Switching barriers in consumer markets: an investigation of the financial services industry. </w:t>
      </w:r>
      <w:r w:rsidRPr="00985BDC">
        <w:rPr>
          <w:rFonts w:ascii="Times New Roman" w:hAnsi="Times New Roman" w:cs="Times New Roman"/>
          <w:i/>
          <w:sz w:val="24"/>
          <w:szCs w:val="24"/>
        </w:rPr>
        <w:t>Journal of Consumer Marketing</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18</w:t>
      </w:r>
      <w:r w:rsidRPr="00985BDC">
        <w:rPr>
          <w:rFonts w:ascii="Times New Roman" w:hAnsi="Times New Roman" w:cs="Times New Roman"/>
          <w:sz w:val="24"/>
          <w:szCs w:val="24"/>
        </w:rPr>
        <w:t>(4), 332–347. https://doi.org/10.1108/07363760110393001</w:t>
      </w:r>
    </w:p>
    <w:p w14:paraId="31BE5FBF" w14:textId="77777777" w:rsidR="002D4E28" w:rsidRPr="00985BDC" w:rsidRDefault="002D4E28" w:rsidP="00FD225C">
      <w:pPr>
        <w:spacing w:before="162"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Colgate, M., Hedge, R., &amp; Hedge, R. (2010). An investigation into the switching process in retail banking services.</w:t>
      </w:r>
    </w:p>
    <w:p w14:paraId="4E8BF1C0"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Davies, M. (1996). Image problems with financial services: some considerations for improvement. </w:t>
      </w:r>
      <w:r w:rsidRPr="00985BDC">
        <w:rPr>
          <w:rFonts w:ascii="Times New Roman" w:hAnsi="Times New Roman" w:cs="Times New Roman"/>
          <w:i/>
          <w:sz w:val="24"/>
          <w:szCs w:val="24"/>
        </w:rPr>
        <w:t>Management Decision</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34</w:t>
      </w:r>
      <w:r w:rsidRPr="00985BDC">
        <w:rPr>
          <w:rFonts w:ascii="Times New Roman" w:hAnsi="Times New Roman" w:cs="Times New Roman"/>
          <w:sz w:val="24"/>
          <w:szCs w:val="24"/>
        </w:rPr>
        <w:t>(2), 64–71. https://doi.org/10.1108/00251749610110355</w:t>
      </w:r>
    </w:p>
    <w:p w14:paraId="7591ED07"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Department of Statistics Malaysia Official Portal. (n.d.). Retrieved December 3, 2018, from https://www.dosm.gov.my/v1/index.php?r=column/ctheme&amp;menu_id=L0pheU43NWJwRWVSZklWdzQ4TlhUUT09&amp;bul_id=MDMxdHZjWTk1Sj FzTzNkRXYzcVZjdz09</w:t>
      </w:r>
    </w:p>
    <w:p w14:paraId="37ACB170"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Elt, K. W. (1988). Review of Recent Theory and Applications. </w:t>
      </w:r>
      <w:r w:rsidRPr="00985BDC">
        <w:rPr>
          <w:rFonts w:ascii="Times New Roman" w:hAnsi="Times New Roman" w:cs="Times New Roman"/>
          <w:i/>
          <w:sz w:val="24"/>
          <w:szCs w:val="24"/>
        </w:rPr>
        <w:t>Management</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9</w:t>
      </w:r>
      <w:r w:rsidRPr="00985BDC">
        <w:rPr>
          <w:rFonts w:ascii="Times New Roman" w:hAnsi="Times New Roman" w:cs="Times New Roman"/>
          <w:sz w:val="24"/>
          <w:szCs w:val="24"/>
        </w:rPr>
        <w:t>(September 1987). https://doi.org/10.1080/23808985.1996.11678934</w:t>
      </w:r>
    </w:p>
    <w:p w14:paraId="7BF56053"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Fornell, C. (1992), “A national customer satisfaction barometer: the Swedish experience”, Journal of Marketing, Vol. 56, January, pp. 6-21.</w:t>
      </w:r>
    </w:p>
    <w:p w14:paraId="0F7D4498"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Fornell, C. (2016). Satisfaction Barometer</w:t>
      </w:r>
      <w:r w:rsidRPr="00985BDC">
        <w:rPr>
          <w:rFonts w:ascii="Times New Roman" w:hAnsi="Times New Roman" w:cs="Times New Roman"/>
          <w:w w:val="45"/>
          <w:sz w:val="24"/>
          <w:szCs w:val="24"/>
        </w:rPr>
        <w:t>:</w:t>
      </w:r>
      <w:r w:rsidRPr="00985BDC">
        <w:rPr>
          <w:rFonts w:ascii="Times New Roman" w:hAnsi="Times New Roman" w:cs="Times New Roman"/>
          <w:sz w:val="24"/>
          <w:szCs w:val="24"/>
        </w:rPr>
        <w:t xml:space="preserve"> The Swedish Experience. </w:t>
      </w:r>
      <w:r w:rsidRPr="00985BDC">
        <w:rPr>
          <w:rFonts w:ascii="Times New Roman" w:hAnsi="Times New Roman" w:cs="Times New Roman"/>
          <w:i/>
          <w:sz w:val="24"/>
          <w:szCs w:val="24"/>
        </w:rPr>
        <w:t>A National Customer Satisfaction Barometer:The Swedish Experience</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56</w:t>
      </w:r>
      <w:r w:rsidRPr="00985BDC">
        <w:rPr>
          <w:rFonts w:ascii="Times New Roman" w:hAnsi="Times New Roman" w:cs="Times New Roman"/>
          <w:sz w:val="24"/>
          <w:szCs w:val="24"/>
        </w:rPr>
        <w:t>(1), 6–21.</w:t>
      </w:r>
    </w:p>
    <w:p w14:paraId="1D47A23C"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Friedman, M.L. and Smith, L.J. (1993), “Consumer evaluation processes in a service setting”, Journal of Services Marketing, Vol. 7 No. 2, pp. 47-61.</w:t>
      </w:r>
    </w:p>
    <w:p w14:paraId="67CC1176"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Gan, C., Clemes, M., Limsombunchai, V. and Weng, A. (2006), “A logit analysis of electronic banking in New Zealand”, International Journal of Bank Marketing, Vol. 24 No. 6, pp. 360‐83.</w:t>
      </w:r>
    </w:p>
    <w:p w14:paraId="1AC6D3AE"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lastRenderedPageBreak/>
        <w:t xml:space="preserve">Ganesh, J., Arnold, M. J., &amp; Reynolds, K. E. (2000). Understanding the Customer Base of Service Providers: An Examination of the Differences Between Switchers and Stayers. </w:t>
      </w:r>
      <w:r w:rsidRPr="00985BDC">
        <w:rPr>
          <w:rFonts w:ascii="Times New Roman" w:hAnsi="Times New Roman" w:cs="Times New Roman"/>
          <w:i/>
          <w:sz w:val="24"/>
          <w:szCs w:val="24"/>
        </w:rPr>
        <w:t>Journal of Marketing</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64</w:t>
      </w:r>
      <w:r w:rsidRPr="00985BDC">
        <w:rPr>
          <w:rFonts w:ascii="Times New Roman" w:hAnsi="Times New Roman" w:cs="Times New Roman"/>
          <w:sz w:val="24"/>
          <w:szCs w:val="24"/>
        </w:rPr>
        <w:t>(3), 65–87. https://doi.org/10.1509/jmkg.64.3.65.18028</w:t>
      </w:r>
    </w:p>
    <w:p w14:paraId="58B37EB2" w14:textId="77777777" w:rsidR="002D4E28" w:rsidRPr="00985BDC" w:rsidRDefault="002D4E28" w:rsidP="00FD225C">
      <w:pPr>
        <w:pStyle w:val="TOC1"/>
        <w:spacing w:line="240" w:lineRule="auto"/>
        <w:ind w:left="360" w:right="-78" w:hanging="360"/>
        <w:jc w:val="both"/>
      </w:pPr>
      <w:r w:rsidRPr="00985BDC">
        <w:t>Gerrard, P. and Cunningham, J. B. (2004), “Consumer Switching Behaviour in the Asia Banking Market”, The Journal of Service Marketing, Vol. 18, No. 2/3, pp. 215.</w:t>
      </w:r>
    </w:p>
    <w:p w14:paraId="79104D40" w14:textId="77777777" w:rsidR="002D4E28" w:rsidRPr="00985BDC" w:rsidRDefault="002D4E28" w:rsidP="00FD225C">
      <w:pPr>
        <w:pStyle w:val="TOC1"/>
        <w:spacing w:line="240" w:lineRule="auto"/>
        <w:ind w:left="360" w:right="-78" w:hanging="360"/>
        <w:jc w:val="both"/>
      </w:pPr>
      <w:r w:rsidRPr="00985BDC">
        <w:t>Gerrard, P. and Cunningham, J.B. (2000), “The bank switching behaviour of Singapore’s</w:t>
      </w:r>
      <w:r w:rsidRPr="00985BDC">
        <w:rPr>
          <w:spacing w:val="-12"/>
        </w:rPr>
        <w:t xml:space="preserve"> </w:t>
      </w:r>
      <w:r w:rsidRPr="00985BDC">
        <w:t>graduates”,</w:t>
      </w:r>
      <w:r w:rsidRPr="00985BDC">
        <w:rPr>
          <w:spacing w:val="-11"/>
        </w:rPr>
        <w:t xml:space="preserve"> </w:t>
      </w:r>
      <w:r w:rsidRPr="00985BDC">
        <w:t>Journal</w:t>
      </w:r>
      <w:r w:rsidRPr="00985BDC">
        <w:rPr>
          <w:spacing w:val="-10"/>
        </w:rPr>
        <w:t xml:space="preserve"> </w:t>
      </w:r>
      <w:r w:rsidRPr="00985BDC">
        <w:t>of</w:t>
      </w:r>
      <w:r w:rsidRPr="00985BDC">
        <w:rPr>
          <w:spacing w:val="-11"/>
        </w:rPr>
        <w:t xml:space="preserve"> </w:t>
      </w:r>
      <w:r w:rsidRPr="00985BDC">
        <w:t>Financial</w:t>
      </w:r>
      <w:r w:rsidRPr="00985BDC">
        <w:rPr>
          <w:spacing w:val="-12"/>
        </w:rPr>
        <w:t xml:space="preserve"> </w:t>
      </w:r>
      <w:r w:rsidRPr="00985BDC">
        <w:t>Services</w:t>
      </w:r>
      <w:r w:rsidRPr="00985BDC">
        <w:rPr>
          <w:spacing w:val="-11"/>
        </w:rPr>
        <w:t xml:space="preserve"> </w:t>
      </w:r>
      <w:r w:rsidRPr="00985BDC">
        <w:t>Marketing,</w:t>
      </w:r>
      <w:r w:rsidRPr="00985BDC">
        <w:rPr>
          <w:spacing w:val="-11"/>
        </w:rPr>
        <w:t xml:space="preserve"> </w:t>
      </w:r>
      <w:r w:rsidRPr="00985BDC">
        <w:t>Vol.</w:t>
      </w:r>
      <w:r w:rsidRPr="00985BDC">
        <w:rPr>
          <w:spacing w:val="-11"/>
        </w:rPr>
        <w:t xml:space="preserve"> </w:t>
      </w:r>
      <w:r w:rsidRPr="00985BDC">
        <w:t>5</w:t>
      </w:r>
      <w:r w:rsidRPr="00985BDC">
        <w:rPr>
          <w:spacing w:val="-11"/>
        </w:rPr>
        <w:t xml:space="preserve"> </w:t>
      </w:r>
      <w:r w:rsidRPr="00985BDC">
        <w:t>No. 2, pp.</w:t>
      </w:r>
      <w:r w:rsidRPr="00985BDC">
        <w:rPr>
          <w:spacing w:val="-1"/>
        </w:rPr>
        <w:t xml:space="preserve"> </w:t>
      </w:r>
      <w:r w:rsidRPr="00985BDC">
        <w:t>118-28.</w:t>
      </w:r>
    </w:p>
    <w:p w14:paraId="541AFE11"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Grmhaug, K., &amp; Gilly, M. C. (1991). Gronhaug, Gilly (1991), A transaction cost approach to consumer dissatisfaction and complaint actions.pdf, </w:t>
      </w:r>
      <w:r w:rsidRPr="00985BDC">
        <w:rPr>
          <w:rFonts w:ascii="Times New Roman" w:hAnsi="Times New Roman" w:cs="Times New Roman"/>
          <w:i/>
          <w:sz w:val="24"/>
          <w:szCs w:val="24"/>
        </w:rPr>
        <w:t>12</w:t>
      </w:r>
      <w:r w:rsidRPr="00985BDC">
        <w:rPr>
          <w:rFonts w:ascii="Times New Roman" w:hAnsi="Times New Roman" w:cs="Times New Roman"/>
          <w:sz w:val="24"/>
          <w:szCs w:val="24"/>
        </w:rPr>
        <w:t>, 165– 183.</w:t>
      </w:r>
    </w:p>
    <w:p w14:paraId="7E7D1BA8"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Hart, A. E., &amp; Rosenberger, P. J. (2004). The effect of corporate image in the formation of customer loyalty: An Australian replication. </w:t>
      </w:r>
      <w:r w:rsidRPr="00985BDC">
        <w:rPr>
          <w:rFonts w:ascii="Times New Roman" w:hAnsi="Times New Roman" w:cs="Times New Roman"/>
          <w:i/>
          <w:sz w:val="24"/>
          <w:szCs w:val="24"/>
        </w:rPr>
        <w:t>Australasian Marketing Journal</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12</w:t>
      </w:r>
      <w:r w:rsidRPr="00985BDC">
        <w:rPr>
          <w:rFonts w:ascii="Times New Roman" w:hAnsi="Times New Roman" w:cs="Times New Roman"/>
          <w:sz w:val="24"/>
          <w:szCs w:val="24"/>
        </w:rPr>
        <w:t>(3), 88–96. https://doi.org/10.1016/S1441-3582(04)70109-3</w:t>
      </w:r>
    </w:p>
    <w:p w14:paraId="737278D9"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Hasan Purhaghshenas, S., &amp; Esmatnia, M. (2012). Interdisciplinary Journal of Contemporary Research in Business Learning Organizations, (November).</w:t>
      </w:r>
    </w:p>
    <w:p w14:paraId="41B4A2D3"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Javalgi, R. G., Armacost, R. L., &amp; Hosseini, J. C. (1989). Using the analytic hierarchy process for bank management: Analysis of consumer bank selection decisions. </w:t>
      </w:r>
      <w:r w:rsidRPr="00985BDC">
        <w:rPr>
          <w:rFonts w:ascii="Times New Roman" w:hAnsi="Times New Roman" w:cs="Times New Roman"/>
          <w:i/>
          <w:sz w:val="24"/>
          <w:szCs w:val="24"/>
        </w:rPr>
        <w:t>Journal of Business Research</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19</w:t>
      </w:r>
      <w:r w:rsidRPr="00985BDC">
        <w:rPr>
          <w:rFonts w:ascii="Times New Roman" w:hAnsi="Times New Roman" w:cs="Times New Roman"/>
          <w:sz w:val="24"/>
          <w:szCs w:val="24"/>
        </w:rPr>
        <w:t>(1), 33–49. https://doi.org/10.1016/0148-2963(89)90039-8</w:t>
      </w:r>
    </w:p>
    <w:p w14:paraId="49D751AB" w14:textId="77777777" w:rsidR="002D4E28" w:rsidRPr="00985BDC" w:rsidRDefault="002D4E28" w:rsidP="00FD225C">
      <w:pPr>
        <w:spacing w:after="20"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Jones, M. A., Mothersbaugh, D. L., &amp; Beatty, S. E. (2002). Why customers stay: measuring the underlying dimensions of services switching costs and managing their differential strategic outcomes. </w:t>
      </w:r>
      <w:r w:rsidRPr="00985BDC">
        <w:rPr>
          <w:rFonts w:ascii="Times New Roman" w:hAnsi="Times New Roman" w:cs="Times New Roman"/>
          <w:i/>
          <w:sz w:val="24"/>
          <w:szCs w:val="24"/>
        </w:rPr>
        <w:t>Journal of Business Research</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55</w:t>
      </w:r>
      <w:r w:rsidRPr="00985BDC">
        <w:rPr>
          <w:rFonts w:ascii="Times New Roman" w:hAnsi="Times New Roman" w:cs="Times New Roman"/>
          <w:sz w:val="24"/>
          <w:szCs w:val="24"/>
        </w:rPr>
        <w:t>(6), 441–450. https://doi.org/10.1016/S0148-2963(00)00168-5</w:t>
      </w:r>
    </w:p>
    <w:p w14:paraId="710E8731" w14:textId="77777777" w:rsidR="004A2BD8" w:rsidRPr="00985BDC" w:rsidRDefault="004A2BD8" w:rsidP="00FD225C">
      <w:pPr>
        <w:spacing w:after="20" w:line="240" w:lineRule="auto"/>
        <w:ind w:left="360" w:right="-78" w:hanging="360"/>
        <w:jc w:val="both"/>
        <w:rPr>
          <w:rFonts w:ascii="Times New Roman" w:hAnsi="Times New Roman" w:cs="Times New Roman"/>
          <w:sz w:val="24"/>
          <w:szCs w:val="24"/>
        </w:rPr>
      </w:pPr>
    </w:p>
    <w:p w14:paraId="21261882" w14:textId="706BC26B" w:rsidR="002D4E28" w:rsidRPr="00985BDC" w:rsidRDefault="002D4E28" w:rsidP="00FD225C">
      <w:pPr>
        <w:spacing w:after="20"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Keaveney, S. M. (1995). Customer Switching Behavior in Service Industries: An Exploratory Study. </w:t>
      </w:r>
      <w:r w:rsidRPr="00985BDC">
        <w:rPr>
          <w:rFonts w:ascii="Times New Roman" w:hAnsi="Times New Roman" w:cs="Times New Roman"/>
          <w:i/>
          <w:sz w:val="24"/>
          <w:szCs w:val="24"/>
        </w:rPr>
        <w:t>Journal of Marketing</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59</w:t>
      </w:r>
      <w:r w:rsidRPr="00985BDC">
        <w:rPr>
          <w:rFonts w:ascii="Times New Roman" w:hAnsi="Times New Roman" w:cs="Times New Roman"/>
          <w:sz w:val="24"/>
          <w:szCs w:val="24"/>
        </w:rPr>
        <w:t>(2), 71. https://doi.org/10.2307/1252074</w:t>
      </w:r>
    </w:p>
    <w:p w14:paraId="4D86FBAF"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Khan, N.R., Ghouri, A.M., Sidduqui, U.A., Shaikh, A. and Alam, I. (2010), “Determinants analysis of customer switching behavior in private banking sector of Pakistan”, Interdisciplinary Journal of Contemporary Research in Business, Vol. 2 No. 7, pp. 96-110.</w:t>
      </w:r>
    </w:p>
    <w:p w14:paraId="4E7234DA" w14:textId="77777777" w:rsidR="002D4E28" w:rsidRPr="00985BDC" w:rsidRDefault="002D4E28" w:rsidP="00FD225C">
      <w:pPr>
        <w:spacing w:after="20"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Kiser, E. K. (2003). Household Switching Behavior at Depository Institutions: Evidence from Survey Data. </w:t>
      </w:r>
      <w:r w:rsidRPr="00985BDC">
        <w:rPr>
          <w:rFonts w:ascii="Times New Roman" w:hAnsi="Times New Roman" w:cs="Times New Roman"/>
          <w:i/>
          <w:sz w:val="24"/>
          <w:szCs w:val="24"/>
        </w:rPr>
        <w:t>Ssrn</w:t>
      </w:r>
      <w:r w:rsidRPr="00985BDC">
        <w:rPr>
          <w:rFonts w:ascii="Times New Roman" w:hAnsi="Times New Roman" w:cs="Times New Roman"/>
          <w:sz w:val="24"/>
          <w:szCs w:val="24"/>
        </w:rPr>
        <w:t>, 619–640. https://doi.org/10.2139/ssrn.347282</w:t>
      </w:r>
    </w:p>
    <w:p w14:paraId="4C166203" w14:textId="77777777" w:rsidR="004A2BD8" w:rsidRPr="00985BDC" w:rsidRDefault="004A2BD8" w:rsidP="00FD225C">
      <w:pPr>
        <w:spacing w:after="100" w:afterAutospacing="1" w:line="240" w:lineRule="auto"/>
        <w:ind w:left="360" w:right="-78" w:hanging="360"/>
        <w:jc w:val="both"/>
        <w:rPr>
          <w:rFonts w:ascii="Times New Roman" w:hAnsi="Times New Roman" w:cs="Times New Roman"/>
          <w:sz w:val="24"/>
          <w:szCs w:val="24"/>
        </w:rPr>
      </w:pPr>
    </w:p>
    <w:p w14:paraId="02B4A2F9" w14:textId="07470EFB"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Kura K.M., Mat N.K.N, Gorondutse A.H., Magaji A.M. &amp; Yusuf A., Modeling the Antecedents of Customer Switching Behaviour in Nigerian Banking Industry, American Journal of Economics, June 2012 (Special Issue), 29-36. </w:t>
      </w:r>
    </w:p>
    <w:p w14:paraId="2F77DB85" w14:textId="77777777" w:rsidR="002D4E28" w:rsidRPr="00985BDC" w:rsidRDefault="002D4E28" w:rsidP="00FD225C">
      <w:pPr>
        <w:spacing w:after="20"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Lee, M., &amp; Cunningham, L. F. (2001). A cost/benefit approach to understanding service loyalty. </w:t>
      </w:r>
      <w:r w:rsidRPr="00985BDC">
        <w:rPr>
          <w:rFonts w:ascii="Times New Roman" w:hAnsi="Times New Roman" w:cs="Times New Roman"/>
          <w:i/>
          <w:sz w:val="24"/>
          <w:szCs w:val="24"/>
        </w:rPr>
        <w:t>Journal of Services Marketing</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15</w:t>
      </w:r>
      <w:r w:rsidRPr="00985BDC">
        <w:rPr>
          <w:rFonts w:ascii="Times New Roman" w:hAnsi="Times New Roman" w:cs="Times New Roman"/>
          <w:sz w:val="24"/>
          <w:szCs w:val="24"/>
        </w:rPr>
        <w:t>(2), 113– 130. https://doi.org/10.1108/08876040110387917</w:t>
      </w:r>
    </w:p>
    <w:p w14:paraId="79E89189" w14:textId="7E2F947B"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Lees, G., Garland, R. and Wright, M. (2007), “Switching banks: old bank gone but not forgotten”, Journal of Financial Services Marketing, Vol. 12 No. 2, pp. 146-57.</w:t>
      </w:r>
    </w:p>
    <w:p w14:paraId="6A243EA3" w14:textId="65D33816" w:rsidR="002D4E28" w:rsidRDefault="002D4E28" w:rsidP="00FD225C">
      <w:pPr>
        <w:spacing w:after="20"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lastRenderedPageBreak/>
        <w:t xml:space="preserve">Levesque, T., &amp; McDougall, G. H. G. (1996). Determinants of customer satisfaction in retail banking. </w:t>
      </w:r>
      <w:r w:rsidRPr="00985BDC">
        <w:rPr>
          <w:rFonts w:ascii="Times New Roman" w:hAnsi="Times New Roman" w:cs="Times New Roman"/>
          <w:i/>
          <w:sz w:val="24"/>
          <w:szCs w:val="24"/>
        </w:rPr>
        <w:t>International Journal of Bank Marketing</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14</w:t>
      </w:r>
      <w:r w:rsidRPr="00985BDC">
        <w:rPr>
          <w:rFonts w:ascii="Times New Roman" w:hAnsi="Times New Roman" w:cs="Times New Roman"/>
          <w:sz w:val="24"/>
          <w:szCs w:val="24"/>
        </w:rPr>
        <w:t xml:space="preserve">(7), 12–20. </w:t>
      </w:r>
      <w:hyperlink r:id="rId10" w:history="1">
        <w:r w:rsidR="00985BDC" w:rsidRPr="00784086">
          <w:rPr>
            <w:rStyle w:val="Hyperlink"/>
            <w:rFonts w:ascii="Times New Roman" w:hAnsi="Times New Roman" w:cs="Times New Roman"/>
            <w:sz w:val="24"/>
            <w:szCs w:val="24"/>
          </w:rPr>
          <w:t>https://doi.org/10.1108/02652329610151340</w:t>
        </w:r>
      </w:hyperlink>
    </w:p>
    <w:p w14:paraId="640B0C1C" w14:textId="77777777" w:rsidR="00985BDC" w:rsidRPr="00985BDC" w:rsidRDefault="00985BDC" w:rsidP="00FD225C">
      <w:pPr>
        <w:spacing w:after="20" w:line="240" w:lineRule="auto"/>
        <w:ind w:left="360" w:right="-78" w:hanging="360"/>
        <w:jc w:val="both"/>
        <w:rPr>
          <w:rFonts w:ascii="Times New Roman" w:hAnsi="Times New Roman" w:cs="Times New Roman"/>
          <w:sz w:val="24"/>
          <w:szCs w:val="24"/>
        </w:rPr>
      </w:pPr>
    </w:p>
    <w:p w14:paraId="30F4369F" w14:textId="5B53FE85" w:rsidR="002D4E28" w:rsidRDefault="002D4E28" w:rsidP="00FD225C">
      <w:pPr>
        <w:spacing w:after="20"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Lewis, M. K. (n.d.). Handbook of Islamic Banking.</w:t>
      </w:r>
    </w:p>
    <w:p w14:paraId="40581280" w14:textId="77777777" w:rsidR="00985BDC" w:rsidRPr="00985BDC" w:rsidRDefault="00985BDC" w:rsidP="00FD225C">
      <w:pPr>
        <w:spacing w:after="20" w:line="240" w:lineRule="auto"/>
        <w:ind w:left="360" w:right="-78" w:hanging="360"/>
        <w:jc w:val="both"/>
        <w:rPr>
          <w:rFonts w:ascii="Times New Roman" w:hAnsi="Times New Roman" w:cs="Times New Roman"/>
          <w:sz w:val="24"/>
          <w:szCs w:val="24"/>
        </w:rPr>
      </w:pPr>
    </w:p>
    <w:p w14:paraId="6B38587C" w14:textId="3A396869" w:rsidR="002D4E28" w:rsidRDefault="002D4E28" w:rsidP="00FD225C">
      <w:pPr>
        <w:spacing w:after="20"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Mallikarjuna Balichakra, Prasad Krishna, Vamsi Krishna Balla, Mitun Das, and S. B. (2016). Understanding thermal behavior in laser processing of titanium aluminide Alloys. </w:t>
      </w:r>
      <w:r w:rsidRPr="00985BDC">
        <w:rPr>
          <w:rFonts w:ascii="Times New Roman" w:hAnsi="Times New Roman" w:cs="Times New Roman"/>
          <w:i/>
          <w:sz w:val="24"/>
          <w:szCs w:val="24"/>
        </w:rPr>
        <w:t>6th International &amp; 27th All India Manufacturing Technology, Design and Research Conference (AIMTDR- 2016)</w:t>
      </w:r>
      <w:r w:rsidRPr="00985BDC">
        <w:rPr>
          <w:rFonts w:ascii="Times New Roman" w:hAnsi="Times New Roman" w:cs="Times New Roman"/>
          <w:sz w:val="24"/>
          <w:szCs w:val="24"/>
        </w:rPr>
        <w:t xml:space="preserve">, </w:t>
      </w:r>
      <w:r w:rsidRPr="00985BDC">
        <w:rPr>
          <w:rFonts w:ascii="Times New Roman" w:hAnsi="Times New Roman" w:cs="Times New Roman"/>
          <w:i/>
          <w:sz w:val="24"/>
          <w:szCs w:val="24"/>
        </w:rPr>
        <w:t>2</w:t>
      </w:r>
      <w:r w:rsidRPr="00985BDC">
        <w:rPr>
          <w:rFonts w:ascii="Times New Roman" w:hAnsi="Times New Roman" w:cs="Times New Roman"/>
          <w:sz w:val="24"/>
          <w:szCs w:val="24"/>
        </w:rPr>
        <w:t>(1), 0–4.</w:t>
      </w:r>
    </w:p>
    <w:p w14:paraId="47674C73" w14:textId="77777777" w:rsidR="00FD225C" w:rsidRPr="00985BDC" w:rsidRDefault="00FD225C" w:rsidP="00FD225C">
      <w:pPr>
        <w:spacing w:after="20" w:line="240" w:lineRule="auto"/>
        <w:ind w:left="360" w:right="-78" w:hanging="360"/>
        <w:jc w:val="both"/>
        <w:rPr>
          <w:rFonts w:ascii="Times New Roman" w:hAnsi="Times New Roman" w:cs="Times New Roman"/>
          <w:sz w:val="24"/>
          <w:szCs w:val="24"/>
        </w:rPr>
      </w:pPr>
    </w:p>
    <w:p w14:paraId="6BA7800F" w14:textId="77777777" w:rsidR="002D4E28" w:rsidRPr="00985BDC" w:rsidRDefault="002D4E28" w:rsidP="00FD225C">
      <w:pPr>
        <w:pStyle w:val="TOC1"/>
        <w:spacing w:line="240" w:lineRule="auto"/>
        <w:ind w:left="360" w:right="-78" w:hanging="360"/>
        <w:jc w:val="both"/>
      </w:pPr>
      <w:r w:rsidRPr="00985BDC">
        <w:t xml:space="preserve">Marshall, R., Huan, T. C., Xu, Y., &amp; Nam, I. (2011). Extending prospect theory cross-culturally by examining switching behavior in consumer and business-to-business contexts. </w:t>
      </w:r>
      <w:r w:rsidRPr="00985BDC">
        <w:rPr>
          <w:i/>
        </w:rPr>
        <w:t>Journal of Business Research</w:t>
      </w:r>
      <w:r w:rsidRPr="00985BDC">
        <w:t xml:space="preserve">, </w:t>
      </w:r>
      <w:r w:rsidRPr="00985BDC">
        <w:rPr>
          <w:i/>
        </w:rPr>
        <w:t>64</w:t>
      </w:r>
      <w:r w:rsidRPr="00985BDC">
        <w:t>(8), 871– 878.</w:t>
      </w:r>
      <w:r w:rsidRPr="00985BDC">
        <w:rPr>
          <w:spacing w:val="-1"/>
        </w:rPr>
        <w:t xml:space="preserve"> </w:t>
      </w:r>
      <w:r w:rsidRPr="00985BDC">
        <w:t>https://doi.org/10.1016/j.jbusres.2010.09.009</w:t>
      </w:r>
    </w:p>
    <w:p w14:paraId="6204C750" w14:textId="77777777" w:rsidR="002D4E28" w:rsidRPr="00985BDC" w:rsidRDefault="002D4E28" w:rsidP="00FD225C">
      <w:pPr>
        <w:pStyle w:val="TOC1"/>
        <w:spacing w:line="240" w:lineRule="auto"/>
        <w:ind w:left="360" w:right="-78" w:hanging="360"/>
        <w:jc w:val="both"/>
      </w:pPr>
      <w:r w:rsidRPr="00985BDC">
        <w:t xml:space="preserve">Mavri, M., &amp; Ioannou, G. (2008). Customer switching behaviour in Greek banking services using survival analysis. </w:t>
      </w:r>
      <w:r w:rsidRPr="00985BDC">
        <w:rPr>
          <w:i/>
        </w:rPr>
        <w:t>Managerial Finance</w:t>
      </w:r>
      <w:r w:rsidRPr="00985BDC">
        <w:t xml:space="preserve">, </w:t>
      </w:r>
      <w:r w:rsidRPr="00985BDC">
        <w:rPr>
          <w:i/>
        </w:rPr>
        <w:t>34</w:t>
      </w:r>
      <w:r w:rsidRPr="00985BDC">
        <w:t>(3), 186– 197.</w:t>
      </w:r>
      <w:r w:rsidRPr="00985BDC">
        <w:rPr>
          <w:spacing w:val="-1"/>
        </w:rPr>
        <w:t xml:space="preserve"> </w:t>
      </w:r>
      <w:r w:rsidRPr="00985BDC">
        <w:t>https://doi.org/10.1108/03074350810848063</w:t>
      </w:r>
    </w:p>
    <w:p w14:paraId="5A400E24" w14:textId="77777777" w:rsidR="002D4E28" w:rsidRPr="00985BDC" w:rsidRDefault="002D4E28" w:rsidP="00FD225C">
      <w:pPr>
        <w:pStyle w:val="TOC1"/>
        <w:spacing w:line="240" w:lineRule="auto"/>
        <w:ind w:left="360" w:right="-78" w:hanging="360"/>
        <w:jc w:val="both"/>
      </w:pPr>
      <w:r w:rsidRPr="00985BDC">
        <w:t>Naser,</w:t>
      </w:r>
      <w:r w:rsidRPr="00985BDC">
        <w:rPr>
          <w:spacing w:val="-5"/>
        </w:rPr>
        <w:t xml:space="preserve"> </w:t>
      </w:r>
      <w:r w:rsidRPr="00985BDC">
        <w:t>K.,</w:t>
      </w:r>
      <w:r w:rsidRPr="00985BDC">
        <w:rPr>
          <w:spacing w:val="-4"/>
        </w:rPr>
        <w:t xml:space="preserve"> </w:t>
      </w:r>
      <w:r w:rsidRPr="00985BDC">
        <w:t>Jamal,</w:t>
      </w:r>
      <w:r w:rsidRPr="00985BDC">
        <w:rPr>
          <w:spacing w:val="-4"/>
        </w:rPr>
        <w:t xml:space="preserve"> </w:t>
      </w:r>
      <w:r w:rsidRPr="00985BDC">
        <w:t>A.</w:t>
      </w:r>
      <w:r w:rsidRPr="00985BDC">
        <w:rPr>
          <w:spacing w:val="-4"/>
        </w:rPr>
        <w:t xml:space="preserve"> </w:t>
      </w:r>
      <w:r w:rsidRPr="00985BDC">
        <w:t>and</w:t>
      </w:r>
      <w:r w:rsidRPr="00985BDC">
        <w:rPr>
          <w:spacing w:val="-6"/>
        </w:rPr>
        <w:t xml:space="preserve"> </w:t>
      </w:r>
      <w:r w:rsidRPr="00985BDC">
        <w:t>Al-Khatib,</w:t>
      </w:r>
      <w:r w:rsidRPr="00985BDC">
        <w:rPr>
          <w:spacing w:val="-4"/>
        </w:rPr>
        <w:t xml:space="preserve"> </w:t>
      </w:r>
      <w:r w:rsidRPr="00985BDC">
        <w:t>K.</w:t>
      </w:r>
      <w:r w:rsidRPr="00985BDC">
        <w:rPr>
          <w:spacing w:val="-4"/>
        </w:rPr>
        <w:t xml:space="preserve"> </w:t>
      </w:r>
      <w:r w:rsidRPr="00985BDC">
        <w:t>(1999),</w:t>
      </w:r>
      <w:r w:rsidRPr="00985BDC">
        <w:rPr>
          <w:spacing w:val="-5"/>
        </w:rPr>
        <w:t xml:space="preserve"> </w:t>
      </w:r>
      <w:r w:rsidRPr="00985BDC">
        <w:t>“Islamic</w:t>
      </w:r>
      <w:r w:rsidRPr="00985BDC">
        <w:rPr>
          <w:spacing w:val="-4"/>
        </w:rPr>
        <w:t xml:space="preserve"> </w:t>
      </w:r>
      <w:r w:rsidRPr="00985BDC">
        <w:t>banking:</w:t>
      </w:r>
      <w:r w:rsidRPr="00985BDC">
        <w:rPr>
          <w:spacing w:val="-3"/>
        </w:rPr>
        <w:t xml:space="preserve"> </w:t>
      </w:r>
      <w:r w:rsidRPr="00985BDC">
        <w:t>a</w:t>
      </w:r>
      <w:r w:rsidRPr="00985BDC">
        <w:rPr>
          <w:spacing w:val="-3"/>
        </w:rPr>
        <w:t xml:space="preserve"> </w:t>
      </w:r>
      <w:r w:rsidRPr="00985BDC">
        <w:t>study</w:t>
      </w:r>
      <w:r w:rsidRPr="00985BDC">
        <w:rPr>
          <w:spacing w:val="-11"/>
        </w:rPr>
        <w:t xml:space="preserve"> </w:t>
      </w:r>
      <w:r w:rsidRPr="00985BDC">
        <w:t>of</w:t>
      </w:r>
      <w:r w:rsidRPr="00985BDC">
        <w:rPr>
          <w:spacing w:val="-1"/>
        </w:rPr>
        <w:t xml:space="preserve"> </w:t>
      </w:r>
      <w:r w:rsidRPr="00985BDC">
        <w:t>customer satisfaction</w:t>
      </w:r>
      <w:r w:rsidRPr="00985BDC">
        <w:rPr>
          <w:spacing w:val="-10"/>
        </w:rPr>
        <w:t xml:space="preserve"> </w:t>
      </w:r>
      <w:r w:rsidRPr="00985BDC">
        <w:t>and</w:t>
      </w:r>
      <w:r w:rsidRPr="00985BDC">
        <w:rPr>
          <w:spacing w:val="-9"/>
        </w:rPr>
        <w:t xml:space="preserve"> </w:t>
      </w:r>
      <w:r w:rsidRPr="00985BDC">
        <w:t>preferences</w:t>
      </w:r>
      <w:r w:rsidRPr="00985BDC">
        <w:rPr>
          <w:spacing w:val="-10"/>
        </w:rPr>
        <w:t xml:space="preserve"> </w:t>
      </w:r>
      <w:r w:rsidRPr="00985BDC">
        <w:t>in</w:t>
      </w:r>
      <w:r w:rsidRPr="00985BDC">
        <w:rPr>
          <w:spacing w:val="-8"/>
        </w:rPr>
        <w:t xml:space="preserve"> </w:t>
      </w:r>
      <w:r w:rsidRPr="00985BDC">
        <w:t>Jordan”,</w:t>
      </w:r>
      <w:r w:rsidRPr="00985BDC">
        <w:rPr>
          <w:spacing w:val="-6"/>
        </w:rPr>
        <w:t xml:space="preserve"> </w:t>
      </w:r>
      <w:r w:rsidRPr="00985BDC">
        <w:t>International</w:t>
      </w:r>
      <w:r w:rsidRPr="00985BDC">
        <w:rPr>
          <w:spacing w:val="-9"/>
        </w:rPr>
        <w:t xml:space="preserve"> </w:t>
      </w:r>
      <w:r w:rsidRPr="00985BDC">
        <w:t>Journal</w:t>
      </w:r>
      <w:r w:rsidRPr="00985BDC">
        <w:rPr>
          <w:spacing w:val="-8"/>
        </w:rPr>
        <w:t xml:space="preserve"> </w:t>
      </w:r>
      <w:r w:rsidRPr="00985BDC">
        <w:t>of</w:t>
      </w:r>
      <w:r w:rsidRPr="00985BDC">
        <w:rPr>
          <w:spacing w:val="-9"/>
        </w:rPr>
        <w:t xml:space="preserve"> </w:t>
      </w:r>
      <w:r w:rsidRPr="00985BDC">
        <w:t>Bank</w:t>
      </w:r>
      <w:r w:rsidRPr="00985BDC">
        <w:rPr>
          <w:spacing w:val="-10"/>
        </w:rPr>
        <w:t xml:space="preserve"> </w:t>
      </w:r>
      <w:r w:rsidRPr="00985BDC">
        <w:t>Marketing, Vol. 17 No. 3, pp. 135-51.</w:t>
      </w:r>
    </w:p>
    <w:p w14:paraId="4A3F45EE" w14:textId="77777777" w:rsidR="00D02184" w:rsidRDefault="00D02184" w:rsidP="00FD225C">
      <w:pPr>
        <w:pStyle w:val="TOC1"/>
        <w:spacing w:line="240" w:lineRule="auto"/>
        <w:ind w:left="360" w:right="-78" w:hanging="360"/>
        <w:jc w:val="both"/>
      </w:pPr>
      <w:r w:rsidRPr="00D02184">
        <w:t>Nguyen, N. and Leblanc, G. (2001), “Corporate Image and Corporate Reputation in Customers’ Retention Decisions in Services”, Journal of Retailing and Consumer Services, Vol. 8, No. 4, pp. 227-36.</w:t>
      </w:r>
    </w:p>
    <w:p w14:paraId="3EC1BE30" w14:textId="4B0998FF" w:rsidR="002D4E28" w:rsidRPr="00985BDC" w:rsidRDefault="002D4E28" w:rsidP="00FD225C">
      <w:pPr>
        <w:pStyle w:val="TOC1"/>
        <w:spacing w:line="240" w:lineRule="auto"/>
        <w:ind w:left="360" w:right="-78" w:hanging="360"/>
        <w:jc w:val="both"/>
      </w:pPr>
      <w:r w:rsidRPr="00985BDC">
        <w:t xml:space="preserve">Nimako, S. (2015). Consumer Switching Behaviour: A Theoretical Review and Research agenda | SIMON NIMAKO - Academia.edu, (July 2012). Retrieved from </w:t>
      </w:r>
    </w:p>
    <w:p w14:paraId="736230F1" w14:textId="77777777" w:rsidR="002D4E28" w:rsidRPr="00985BDC" w:rsidRDefault="002D4E28" w:rsidP="00FD225C">
      <w:pPr>
        <w:pStyle w:val="TOC1"/>
        <w:spacing w:line="240" w:lineRule="auto"/>
        <w:ind w:left="360" w:right="-78" w:hanging="360"/>
        <w:jc w:val="both"/>
      </w:pPr>
      <w:r w:rsidRPr="00985BDC">
        <w:t xml:space="preserve">Parasuraman, A., Zeithaml, V. and Berry, L. (1985), “A Conceptual Model of Service Quality and its Implications for Future Research”, </w:t>
      </w:r>
      <w:r w:rsidRPr="00FD225C">
        <w:rPr>
          <w:i/>
        </w:rPr>
        <w:t>Journal of Marketing</w:t>
      </w:r>
      <w:r w:rsidRPr="00985BDC">
        <w:t>, Vol. 49, Fall, pp. 41-50.</w:t>
      </w:r>
    </w:p>
    <w:p w14:paraId="08AA2BC7" w14:textId="07F23CB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Pollner, M. (1989) ‘Divine relations, social relations and wellbeing’, </w:t>
      </w:r>
      <w:r w:rsidRPr="00FD225C">
        <w:rPr>
          <w:rFonts w:ascii="Times New Roman" w:hAnsi="Times New Roman" w:cs="Times New Roman"/>
          <w:i/>
          <w:sz w:val="24"/>
          <w:szCs w:val="24"/>
        </w:rPr>
        <w:t>Journal of Health and Social Behaviour,</w:t>
      </w:r>
      <w:r w:rsidRPr="00985BDC">
        <w:rPr>
          <w:rFonts w:ascii="Times New Roman" w:hAnsi="Times New Roman" w:cs="Times New Roman"/>
          <w:sz w:val="24"/>
          <w:szCs w:val="24"/>
        </w:rPr>
        <w:t xml:space="preserve"> Vol. 30, No. 1, pp.92–104.</w:t>
      </w:r>
    </w:p>
    <w:p w14:paraId="035E14AA"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Roscoe, J.T. (1975) Fundamental Research Statistics for the Behavioural Sciences, 2nd edition. New York: Holt Rinehart &amp; Winston.</w:t>
      </w:r>
    </w:p>
    <w:p w14:paraId="4B4B670B"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Saeed, M., 2014. Significant Role of Religion in relationship marketing model for Arab guests of Influencing Consumer Behaviour. Globalization and five-star hotels, unpublished PhD dissertation, Governance in the International Political Economy, pp: 351.</w:t>
      </w:r>
    </w:p>
    <w:p w14:paraId="26BCEE0F" w14:textId="77777777" w:rsidR="002D4E28" w:rsidRPr="00985BDC" w:rsidRDefault="002D4E28" w:rsidP="00FD225C">
      <w:pPr>
        <w:pStyle w:val="TOC1"/>
        <w:spacing w:line="240" w:lineRule="auto"/>
        <w:ind w:left="360" w:right="-78" w:hanging="360"/>
        <w:jc w:val="both"/>
      </w:pPr>
      <w:r w:rsidRPr="00985BDC">
        <w:t xml:space="preserve">Stewart, K. (1998), “An exploration of customer exit in retail banking”, </w:t>
      </w:r>
      <w:r w:rsidRPr="00FD225C">
        <w:rPr>
          <w:i/>
        </w:rPr>
        <w:t>International Journal of Bank Marketing,</w:t>
      </w:r>
      <w:r w:rsidRPr="00985BDC">
        <w:t xml:space="preserve"> Vol. 16 No. 1, pp. 6-14.</w:t>
      </w:r>
    </w:p>
    <w:p w14:paraId="39057FDB" w14:textId="77777777" w:rsidR="002D4E28" w:rsidRPr="00985BDC" w:rsidRDefault="002D4E28" w:rsidP="00FD225C">
      <w:pPr>
        <w:pStyle w:val="TOC1"/>
        <w:spacing w:line="240" w:lineRule="auto"/>
        <w:ind w:left="360" w:right="-78" w:hanging="360"/>
        <w:jc w:val="both"/>
      </w:pPr>
      <w:r w:rsidRPr="00985BDC">
        <w:t>Valarie,</w:t>
      </w:r>
      <w:r w:rsidRPr="00985BDC">
        <w:rPr>
          <w:spacing w:val="-18"/>
        </w:rPr>
        <w:t xml:space="preserve"> </w:t>
      </w:r>
      <w:r w:rsidRPr="00985BDC">
        <w:t>A.,</w:t>
      </w:r>
      <w:r w:rsidRPr="00985BDC">
        <w:rPr>
          <w:spacing w:val="-17"/>
        </w:rPr>
        <w:t xml:space="preserve"> </w:t>
      </w:r>
      <w:r w:rsidRPr="00985BDC">
        <w:t>&amp;</w:t>
      </w:r>
      <w:r w:rsidRPr="00985BDC">
        <w:rPr>
          <w:spacing w:val="-17"/>
        </w:rPr>
        <w:t xml:space="preserve"> </w:t>
      </w:r>
      <w:r w:rsidRPr="00985BDC">
        <w:t>Leonard,</w:t>
      </w:r>
      <w:r w:rsidRPr="00985BDC">
        <w:rPr>
          <w:spacing w:val="-17"/>
        </w:rPr>
        <w:t xml:space="preserve"> </w:t>
      </w:r>
      <w:r w:rsidRPr="00985BDC">
        <w:t>L.</w:t>
      </w:r>
      <w:r w:rsidRPr="00985BDC">
        <w:rPr>
          <w:spacing w:val="-18"/>
        </w:rPr>
        <w:t xml:space="preserve"> </w:t>
      </w:r>
      <w:r w:rsidRPr="00985BDC">
        <w:t>(1988).</w:t>
      </w:r>
      <w:r w:rsidRPr="00985BDC">
        <w:rPr>
          <w:spacing w:val="-18"/>
        </w:rPr>
        <w:t xml:space="preserve"> </w:t>
      </w:r>
      <w:r w:rsidRPr="00985BDC">
        <w:t>Servqual :</w:t>
      </w:r>
      <w:r w:rsidRPr="00985BDC">
        <w:rPr>
          <w:spacing w:val="-18"/>
        </w:rPr>
        <w:t xml:space="preserve"> </w:t>
      </w:r>
      <w:r w:rsidRPr="00985BDC">
        <w:t>A</w:t>
      </w:r>
      <w:r w:rsidRPr="00985BDC">
        <w:rPr>
          <w:spacing w:val="-17"/>
        </w:rPr>
        <w:t xml:space="preserve"> </w:t>
      </w:r>
      <w:r w:rsidRPr="00985BDC">
        <w:t>Multiple-Item</w:t>
      </w:r>
      <w:r w:rsidRPr="00985BDC">
        <w:rPr>
          <w:spacing w:val="-17"/>
        </w:rPr>
        <w:t xml:space="preserve"> </w:t>
      </w:r>
      <w:r w:rsidRPr="00985BDC">
        <w:t>Scale</w:t>
      </w:r>
      <w:r w:rsidRPr="00985BDC">
        <w:rPr>
          <w:spacing w:val="-19"/>
        </w:rPr>
        <w:t xml:space="preserve"> </w:t>
      </w:r>
      <w:r w:rsidRPr="00985BDC">
        <w:rPr>
          <w:spacing w:val="-7"/>
        </w:rPr>
        <w:t xml:space="preserve">For </w:t>
      </w:r>
      <w:r w:rsidRPr="00985BDC">
        <w:t xml:space="preserve">Measuring Consumer Perc. </w:t>
      </w:r>
      <w:r w:rsidRPr="00985BDC">
        <w:rPr>
          <w:i/>
        </w:rPr>
        <w:t>Journal of Retailing</w:t>
      </w:r>
      <w:r w:rsidRPr="00985BDC">
        <w:t xml:space="preserve">, </w:t>
      </w:r>
      <w:r w:rsidRPr="00985BDC">
        <w:rPr>
          <w:i/>
        </w:rPr>
        <w:t>64</w:t>
      </w:r>
      <w:r w:rsidRPr="00985BDC">
        <w:t>, 12. https://doi.org/10.1108/02640470210447801</w:t>
      </w:r>
    </w:p>
    <w:p w14:paraId="1357C21A" w14:textId="77777777" w:rsidR="002D4E28" w:rsidRPr="00985BDC" w:rsidRDefault="002D4E28" w:rsidP="00FD225C">
      <w:pPr>
        <w:pStyle w:val="TOC1"/>
        <w:spacing w:line="240" w:lineRule="auto"/>
        <w:ind w:left="360" w:right="-78" w:hanging="360"/>
        <w:jc w:val="both"/>
      </w:pPr>
      <w:r w:rsidRPr="00985BDC">
        <w:lastRenderedPageBreak/>
        <w:t>Wang,</w:t>
      </w:r>
      <w:r w:rsidRPr="00985BDC">
        <w:rPr>
          <w:spacing w:val="-14"/>
        </w:rPr>
        <w:t xml:space="preserve"> </w:t>
      </w:r>
      <w:r w:rsidRPr="00985BDC">
        <w:t>Y.G.,</w:t>
      </w:r>
      <w:r w:rsidRPr="00985BDC">
        <w:rPr>
          <w:spacing w:val="-12"/>
        </w:rPr>
        <w:t xml:space="preserve"> </w:t>
      </w:r>
      <w:r w:rsidRPr="00985BDC">
        <w:t>Lo,</w:t>
      </w:r>
      <w:r w:rsidRPr="00985BDC">
        <w:rPr>
          <w:spacing w:val="-14"/>
        </w:rPr>
        <w:t xml:space="preserve"> </w:t>
      </w:r>
      <w:r w:rsidRPr="00985BDC">
        <w:t>H.P.</w:t>
      </w:r>
      <w:r w:rsidRPr="00985BDC">
        <w:rPr>
          <w:spacing w:val="-14"/>
        </w:rPr>
        <w:t xml:space="preserve"> </w:t>
      </w:r>
      <w:r w:rsidRPr="00985BDC">
        <w:t>and</w:t>
      </w:r>
      <w:r w:rsidRPr="00985BDC">
        <w:rPr>
          <w:spacing w:val="-14"/>
        </w:rPr>
        <w:t xml:space="preserve"> </w:t>
      </w:r>
      <w:r w:rsidRPr="00985BDC">
        <w:t>Hui,</w:t>
      </w:r>
      <w:r w:rsidRPr="00985BDC">
        <w:rPr>
          <w:spacing w:val="-15"/>
        </w:rPr>
        <w:t xml:space="preserve"> </w:t>
      </w:r>
      <w:r w:rsidRPr="00985BDC">
        <w:t>Y.V.</w:t>
      </w:r>
      <w:r w:rsidRPr="00985BDC">
        <w:rPr>
          <w:spacing w:val="-14"/>
        </w:rPr>
        <w:t xml:space="preserve"> </w:t>
      </w:r>
      <w:r w:rsidRPr="00985BDC">
        <w:t>(2003),</w:t>
      </w:r>
      <w:r w:rsidRPr="00985BDC">
        <w:rPr>
          <w:spacing w:val="-14"/>
        </w:rPr>
        <w:t xml:space="preserve"> </w:t>
      </w:r>
      <w:r w:rsidRPr="00985BDC">
        <w:t>“The</w:t>
      </w:r>
      <w:r w:rsidRPr="00985BDC">
        <w:rPr>
          <w:spacing w:val="-16"/>
        </w:rPr>
        <w:t xml:space="preserve"> </w:t>
      </w:r>
      <w:r w:rsidRPr="00985BDC">
        <w:t>Antecedents</w:t>
      </w:r>
      <w:r w:rsidRPr="00985BDC">
        <w:rPr>
          <w:spacing w:val="-14"/>
        </w:rPr>
        <w:t xml:space="preserve"> </w:t>
      </w:r>
      <w:r w:rsidRPr="00985BDC">
        <w:t>of</w:t>
      </w:r>
      <w:r w:rsidRPr="00985BDC">
        <w:rPr>
          <w:spacing w:val="-15"/>
        </w:rPr>
        <w:t xml:space="preserve"> </w:t>
      </w:r>
      <w:r w:rsidRPr="00985BDC">
        <w:t>Service</w:t>
      </w:r>
      <w:r w:rsidRPr="00985BDC">
        <w:rPr>
          <w:spacing w:val="-15"/>
        </w:rPr>
        <w:t xml:space="preserve"> </w:t>
      </w:r>
      <w:r w:rsidRPr="00985BDC">
        <w:t>Quality and Product Reputation: Evidence from the Banking Industry in China”, Managing Service Quality, Vol. 13, No. 1, pp.</w:t>
      </w:r>
      <w:r w:rsidRPr="00985BDC">
        <w:rPr>
          <w:spacing w:val="-1"/>
        </w:rPr>
        <w:t xml:space="preserve"> </w:t>
      </w:r>
      <w:r w:rsidRPr="00985BDC">
        <w:t>72-83.</w:t>
      </w:r>
    </w:p>
    <w:p w14:paraId="208986A8" w14:textId="77777777" w:rsidR="002D4E28" w:rsidRPr="00985BDC" w:rsidRDefault="002D4E28" w:rsidP="00FD225C">
      <w:pPr>
        <w:spacing w:after="100" w:afterAutospacing="1" w:line="240" w:lineRule="auto"/>
        <w:ind w:left="360" w:right="-78" w:hanging="360"/>
        <w:jc w:val="both"/>
        <w:rPr>
          <w:rFonts w:ascii="Times New Roman" w:hAnsi="Times New Roman" w:cs="Times New Roman"/>
          <w:sz w:val="24"/>
          <w:szCs w:val="24"/>
        </w:rPr>
      </w:pPr>
      <w:r w:rsidRPr="00985BDC">
        <w:rPr>
          <w:rFonts w:ascii="Times New Roman" w:hAnsi="Times New Roman" w:cs="Times New Roman"/>
          <w:sz w:val="24"/>
          <w:szCs w:val="24"/>
        </w:rPr>
        <w:t xml:space="preserve">Weigelt, K. and Camerer, C. (1988), “Reputation and corporate strategy: A review of recent theory and application”, </w:t>
      </w:r>
      <w:r w:rsidRPr="00FD225C">
        <w:rPr>
          <w:rFonts w:ascii="Times New Roman" w:hAnsi="Times New Roman" w:cs="Times New Roman"/>
          <w:i/>
          <w:sz w:val="24"/>
          <w:szCs w:val="24"/>
        </w:rPr>
        <w:t>Strategic Management Journal</w:t>
      </w:r>
      <w:r w:rsidRPr="00985BDC">
        <w:rPr>
          <w:rFonts w:ascii="Times New Roman" w:hAnsi="Times New Roman" w:cs="Times New Roman"/>
          <w:sz w:val="24"/>
          <w:szCs w:val="24"/>
        </w:rPr>
        <w:t>, Vol. 9 No. 5, pp. 443-54.</w:t>
      </w:r>
    </w:p>
    <w:p w14:paraId="2769679D" w14:textId="77777777" w:rsidR="002D4E28" w:rsidRPr="00985BDC" w:rsidRDefault="002D4E28" w:rsidP="00FD225C">
      <w:pPr>
        <w:pStyle w:val="TOC1"/>
        <w:spacing w:line="240" w:lineRule="auto"/>
        <w:ind w:left="360" w:right="-78" w:hanging="360"/>
        <w:jc w:val="both"/>
      </w:pPr>
      <w:r w:rsidRPr="00985BDC">
        <w:t xml:space="preserve">Yavas, U., Benkenstein, M., &amp; Stuhldreier, U. (2004). Relationships between service quality and behavioral outcomes: A study of private bank customers in Germany. </w:t>
      </w:r>
      <w:r w:rsidRPr="00985BDC">
        <w:rPr>
          <w:i/>
        </w:rPr>
        <w:t>International Journal of Bank Marketing</w:t>
      </w:r>
      <w:r w:rsidRPr="00985BDC">
        <w:t xml:space="preserve">, </w:t>
      </w:r>
      <w:r w:rsidRPr="00985BDC">
        <w:rPr>
          <w:i/>
        </w:rPr>
        <w:t>22</w:t>
      </w:r>
      <w:r w:rsidRPr="00985BDC">
        <w:t>(2), 144–157. https://doi.org/10.1108/02652320410521737</w:t>
      </w:r>
    </w:p>
    <w:p w14:paraId="11B8B1E1" w14:textId="77777777" w:rsidR="002D4E28" w:rsidRPr="00985BDC" w:rsidRDefault="002D4E28" w:rsidP="00FD225C">
      <w:pPr>
        <w:pStyle w:val="TOC1"/>
        <w:spacing w:line="240" w:lineRule="auto"/>
        <w:ind w:left="360" w:right="-78" w:hanging="360"/>
        <w:jc w:val="both"/>
      </w:pPr>
      <w:r w:rsidRPr="00985BDC">
        <w:t xml:space="preserve">Yoon, E., Guffey, H. J., &amp; Kijewski, V. (1993). The Effects of Information and Company Reputation on Intentions to Buy a Business Service, </w:t>
      </w:r>
      <w:r w:rsidRPr="00985BDC">
        <w:rPr>
          <w:i/>
        </w:rPr>
        <w:t>228</w:t>
      </w:r>
      <w:r w:rsidRPr="00985BDC">
        <w:t>, 215– 228.</w:t>
      </w:r>
    </w:p>
    <w:p w14:paraId="758CAEEC" w14:textId="77777777" w:rsidR="002D4E28" w:rsidRPr="00985BDC" w:rsidRDefault="002D4E28" w:rsidP="00FD225C">
      <w:pPr>
        <w:pStyle w:val="TOC1"/>
        <w:spacing w:line="240" w:lineRule="auto"/>
        <w:ind w:left="360" w:right="-78" w:hanging="360"/>
        <w:jc w:val="both"/>
      </w:pPr>
      <w:r w:rsidRPr="00985BDC">
        <w:t xml:space="preserve">Yue, H. and Tom, G. (1995), “How the Chinese Select their Banks”, </w:t>
      </w:r>
      <w:r w:rsidRPr="00FD225C">
        <w:rPr>
          <w:i/>
        </w:rPr>
        <w:t>Journal of Retail Banking,</w:t>
      </w:r>
      <w:r w:rsidRPr="00985BDC">
        <w:t xml:space="preserve"> Vol. XVI, Winter No. 4.</w:t>
      </w:r>
    </w:p>
    <w:p w14:paraId="311F77B1" w14:textId="4A893D4D" w:rsidR="002D4E28" w:rsidRPr="00985BDC" w:rsidRDefault="002D4E28" w:rsidP="00FD225C">
      <w:pPr>
        <w:pStyle w:val="TOC1"/>
        <w:spacing w:line="240" w:lineRule="auto"/>
        <w:ind w:left="360" w:right="-78" w:hanging="360"/>
        <w:jc w:val="both"/>
        <w:sectPr w:rsidR="002D4E28" w:rsidRPr="00985BDC" w:rsidSect="00DC45D3">
          <w:headerReference w:type="default" r:id="rId11"/>
          <w:footerReference w:type="default" r:id="rId12"/>
          <w:type w:val="continuous"/>
          <w:pgSz w:w="11910" w:h="16840"/>
          <w:pgMar w:top="1440" w:right="1440" w:bottom="1440" w:left="1440" w:header="630" w:footer="859" w:gutter="0"/>
          <w:pgNumType w:start="23"/>
          <w:cols w:space="720"/>
        </w:sectPr>
      </w:pPr>
      <w:r w:rsidRPr="00985BDC">
        <w:t xml:space="preserve">Zheng, L. Y. (2007). Customer switching behavior in the New Zealand banking industry. </w:t>
      </w:r>
      <w:r w:rsidRPr="00985BDC">
        <w:rPr>
          <w:i/>
        </w:rPr>
        <w:t>Banks and Bank System</w:t>
      </w:r>
      <w:r w:rsidRPr="00985BDC">
        <w:t xml:space="preserve">, </w:t>
      </w:r>
      <w:r w:rsidRPr="00985BDC">
        <w:rPr>
          <w:i/>
        </w:rPr>
        <w:t>2</w:t>
      </w:r>
      <w:r w:rsidR="00FD225C">
        <w:t>(4), 5</w:t>
      </w:r>
    </w:p>
    <w:p w14:paraId="1F3F80C4" w14:textId="77777777" w:rsidR="000A59E5" w:rsidRPr="00985BDC" w:rsidRDefault="000A59E5" w:rsidP="00CF29E2">
      <w:pPr>
        <w:spacing w:line="240" w:lineRule="auto"/>
        <w:rPr>
          <w:rFonts w:ascii="Times New Roman" w:hAnsi="Times New Roman" w:cs="Times New Roman"/>
          <w:sz w:val="24"/>
          <w:szCs w:val="24"/>
        </w:rPr>
      </w:pPr>
    </w:p>
    <w:sectPr w:rsidR="000A59E5" w:rsidRPr="00985BDC" w:rsidSect="00DC45D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Salawati binti Sahari" w:date="2019-04-29T16:55:00Z" w:initials="SbS">
    <w:p w14:paraId="166E0FBA" w14:textId="77777777" w:rsidR="004064A1" w:rsidRDefault="004064A1" w:rsidP="002D4E28">
      <w:pPr>
        <w:pStyle w:val="CommentText"/>
      </w:pPr>
      <w:r>
        <w:rPr>
          <w:rStyle w:val="CommentReference"/>
        </w:rPr>
        <w:annotationRef/>
      </w:r>
      <w:r>
        <w:t>need to add more on discussion, maybe u could directly support / compare LR in the findings above,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6E0F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6E0FBA" w16cid:durableId="2396D93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B4039" w14:textId="77777777" w:rsidR="004456CC" w:rsidRDefault="004456CC">
      <w:pPr>
        <w:spacing w:after="0" w:line="240" w:lineRule="auto"/>
      </w:pPr>
      <w:r>
        <w:separator/>
      </w:r>
    </w:p>
  </w:endnote>
  <w:endnote w:type="continuationSeparator" w:id="0">
    <w:p w14:paraId="471AA70E" w14:textId="77777777" w:rsidR="004456CC" w:rsidRDefault="0044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C81E" w14:textId="0B873CCD" w:rsidR="00DC45D3" w:rsidRPr="00DC45D3" w:rsidRDefault="00DC45D3" w:rsidP="00DC45D3">
    <w:pPr>
      <w:pStyle w:val="Footer"/>
      <w:pBdr>
        <w:top w:val="single" w:sz="4" w:space="1" w:color="auto"/>
      </w:pBdr>
      <w:tabs>
        <w:tab w:val="clear" w:pos="9026"/>
        <w:tab w:val="right" w:pos="9360"/>
      </w:tabs>
      <w:rPr>
        <w:rFonts w:ascii="Times New Roman" w:hAnsi="Times New Roman" w:cs="Times New Roman"/>
        <w:sz w:val="20"/>
        <w:szCs w:val="20"/>
      </w:rPr>
    </w:pPr>
    <w:r w:rsidRPr="00DC45D3">
      <w:rPr>
        <w:rFonts w:ascii="Times New Roman" w:eastAsia="Calibri" w:hAnsi="Times New Roman" w:cs="Times New Roman"/>
        <w:i/>
        <w:sz w:val="20"/>
        <w:szCs w:val="20"/>
      </w:rPr>
      <w:t>© 2020 UNIMAS All Rights Reserved</w:t>
    </w:r>
    <w:r w:rsidRPr="00DC45D3">
      <w:rPr>
        <w:rFonts w:ascii="Times New Roman" w:eastAsia="Calibri" w:hAnsi="Times New Roman" w:cs="Times New Roman"/>
        <w:sz w:val="20"/>
        <w:szCs w:val="20"/>
      </w:rPr>
      <w:t xml:space="preserve"> </w:t>
    </w:r>
    <w:r w:rsidRPr="00DC45D3">
      <w:rPr>
        <w:rFonts w:ascii="Times New Roman" w:eastAsia="Calibri" w:hAnsi="Times New Roman" w:cs="Times New Roman"/>
        <w:sz w:val="20"/>
        <w:szCs w:val="20"/>
      </w:rPr>
      <w:tab/>
      <w:t xml:space="preserve">                                                                                                      </w:t>
    </w:r>
    <w:sdt>
      <w:sdtPr>
        <w:rPr>
          <w:rFonts w:ascii="Times New Roman" w:hAnsi="Times New Roman" w:cs="Times New Roman"/>
          <w:sz w:val="20"/>
          <w:szCs w:val="20"/>
        </w:rPr>
        <w:id w:val="1112487328"/>
        <w:docPartObj>
          <w:docPartGallery w:val="Page Numbers (Bottom of Page)"/>
          <w:docPartUnique/>
        </w:docPartObj>
      </w:sdtPr>
      <w:sdtEndPr/>
      <w:sdtContent>
        <w:r w:rsidRPr="00DC45D3">
          <w:rPr>
            <w:rFonts w:ascii="Times New Roman" w:hAnsi="Times New Roman" w:cs="Times New Roman"/>
            <w:sz w:val="20"/>
            <w:szCs w:val="20"/>
          </w:rPr>
          <w:t xml:space="preserve">Page | </w:t>
        </w:r>
        <w:r w:rsidRPr="00DC45D3">
          <w:rPr>
            <w:rFonts w:ascii="Times New Roman" w:hAnsi="Times New Roman" w:cs="Times New Roman"/>
            <w:sz w:val="20"/>
            <w:szCs w:val="20"/>
          </w:rPr>
          <w:fldChar w:fldCharType="begin"/>
        </w:r>
        <w:r w:rsidRPr="00DC45D3">
          <w:rPr>
            <w:rFonts w:ascii="Times New Roman" w:hAnsi="Times New Roman" w:cs="Times New Roman"/>
            <w:sz w:val="20"/>
            <w:szCs w:val="20"/>
          </w:rPr>
          <w:instrText xml:space="preserve"> PAGE   \* MERGEFORMAT </w:instrText>
        </w:r>
        <w:r w:rsidRPr="00DC45D3">
          <w:rPr>
            <w:rFonts w:ascii="Times New Roman" w:hAnsi="Times New Roman" w:cs="Times New Roman"/>
            <w:sz w:val="20"/>
            <w:szCs w:val="20"/>
          </w:rPr>
          <w:fldChar w:fldCharType="separate"/>
        </w:r>
        <w:r w:rsidR="009C3E8D">
          <w:rPr>
            <w:rFonts w:ascii="Times New Roman" w:hAnsi="Times New Roman" w:cs="Times New Roman"/>
            <w:noProof/>
            <w:sz w:val="20"/>
            <w:szCs w:val="20"/>
          </w:rPr>
          <w:t>23</w:t>
        </w:r>
        <w:r w:rsidRPr="00DC45D3">
          <w:rPr>
            <w:rFonts w:ascii="Times New Roman" w:hAnsi="Times New Roman" w:cs="Times New Roman"/>
            <w:noProof/>
            <w:sz w:val="20"/>
            <w:szCs w:val="20"/>
          </w:rPr>
          <w:fldChar w:fldCharType="end"/>
        </w:r>
        <w:r w:rsidRPr="00DC45D3">
          <w:rPr>
            <w:rFonts w:ascii="Times New Roman" w:hAnsi="Times New Roman" w:cs="Times New Roman"/>
            <w:sz w:val="20"/>
            <w:szCs w:val="20"/>
          </w:rPr>
          <w:t xml:space="preserve"> </w:t>
        </w:r>
      </w:sdtContent>
    </w:sdt>
  </w:p>
  <w:p w14:paraId="245EFC6D" w14:textId="77777777" w:rsidR="004064A1" w:rsidRDefault="004064A1" w:rsidP="004064A1">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31A3A" w14:textId="77777777" w:rsidR="004456CC" w:rsidRDefault="004456CC">
      <w:pPr>
        <w:spacing w:after="0" w:line="240" w:lineRule="auto"/>
      </w:pPr>
      <w:r>
        <w:separator/>
      </w:r>
    </w:p>
  </w:footnote>
  <w:footnote w:type="continuationSeparator" w:id="0">
    <w:p w14:paraId="422D53A4" w14:textId="77777777" w:rsidR="004456CC" w:rsidRDefault="00445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34D45" w14:textId="33323781" w:rsidR="004064A1" w:rsidRDefault="004064A1" w:rsidP="004064A1">
    <w:pPr>
      <w:pBdr>
        <w:bottom w:val="single" w:sz="4" w:space="1" w:color="auto"/>
      </w:pBdr>
      <w:tabs>
        <w:tab w:val="center" w:pos="4680"/>
        <w:tab w:val="right" w:pos="9360"/>
      </w:tabs>
      <w:spacing w:after="0" w:line="240" w:lineRule="auto"/>
      <w:jc w:val="right"/>
      <w:rPr>
        <w:rFonts w:ascii="Times New Roman" w:eastAsia="Calibri" w:hAnsi="Times New Roman"/>
        <w:i/>
        <w:sz w:val="20"/>
        <w:szCs w:val="20"/>
      </w:rPr>
    </w:pPr>
    <w:r>
      <w:rPr>
        <w:rFonts w:ascii="Times New Roman" w:eastAsia="Calibri" w:hAnsi="Times New Roman"/>
        <w:i/>
        <w:sz w:val="20"/>
        <w:szCs w:val="20"/>
      </w:rPr>
      <w:t>UNIMAS Review of Accounting and Finance</w:t>
    </w:r>
  </w:p>
  <w:p w14:paraId="7F982C99" w14:textId="16B0A09B" w:rsidR="004064A1" w:rsidRDefault="004064A1" w:rsidP="004064A1">
    <w:pPr>
      <w:pBdr>
        <w:bottom w:val="single" w:sz="4" w:space="1" w:color="auto"/>
      </w:pBdr>
      <w:tabs>
        <w:tab w:val="center" w:pos="4680"/>
        <w:tab w:val="right" w:pos="9360"/>
      </w:tabs>
      <w:spacing w:after="0" w:line="240" w:lineRule="auto"/>
      <w:jc w:val="right"/>
      <w:rPr>
        <w:rFonts w:ascii="Calibri" w:eastAsia="Calibri" w:hAnsi="Calibri"/>
        <w:i/>
        <w:sz w:val="20"/>
        <w:szCs w:val="20"/>
      </w:rPr>
    </w:pPr>
    <w:r>
      <w:rPr>
        <w:rFonts w:ascii="Times New Roman" w:eastAsia="Calibri" w:hAnsi="Times New Roman"/>
        <w:i/>
        <w:sz w:val="20"/>
        <w:szCs w:val="20"/>
      </w:rPr>
      <w:t>Vol.</w:t>
    </w:r>
    <w:r w:rsidR="009C3E8D">
      <w:rPr>
        <w:rFonts w:ascii="Times New Roman" w:eastAsia="Calibri" w:hAnsi="Times New Roman"/>
        <w:i/>
        <w:sz w:val="20"/>
        <w:szCs w:val="20"/>
      </w:rPr>
      <w:t>4</w:t>
    </w:r>
    <w:r>
      <w:rPr>
        <w:rFonts w:ascii="Times New Roman" w:eastAsia="Calibri" w:hAnsi="Times New Roman"/>
        <w:i/>
        <w:sz w:val="20"/>
        <w:szCs w:val="20"/>
      </w:rPr>
      <w:t xml:space="preserve"> No. 1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360"/>
    <w:multiLevelType w:val="multilevel"/>
    <w:tmpl w:val="18142BFC"/>
    <w:lvl w:ilvl="0">
      <w:start w:val="2"/>
      <w:numFmt w:val="decimal"/>
      <w:lvlText w:val="%1"/>
      <w:lvlJc w:val="left"/>
      <w:pPr>
        <w:ind w:left="1269" w:hanging="360"/>
      </w:pPr>
      <w:rPr>
        <w:rFonts w:hint="default"/>
      </w:rPr>
    </w:lvl>
    <w:lvl w:ilvl="1">
      <w:start w:val="4"/>
      <w:numFmt w:val="decimal"/>
      <w:lvlText w:val="%1.%2"/>
      <w:lvlJc w:val="left"/>
      <w:pPr>
        <w:ind w:left="1269" w:hanging="360"/>
      </w:pPr>
      <w:rPr>
        <w:rFonts w:ascii="Times New Roman" w:eastAsia="Times New Roman" w:hAnsi="Times New Roman" w:cs="Times New Roman" w:hint="default"/>
        <w:spacing w:val="-2"/>
        <w:w w:val="100"/>
        <w:sz w:val="24"/>
        <w:szCs w:val="24"/>
      </w:rPr>
    </w:lvl>
    <w:lvl w:ilvl="2">
      <w:start w:val="1"/>
      <w:numFmt w:val="decimal"/>
      <w:lvlText w:val="%1.%2.%3"/>
      <w:lvlJc w:val="left"/>
      <w:pPr>
        <w:ind w:left="1667" w:hanging="540"/>
      </w:pPr>
      <w:rPr>
        <w:rFonts w:ascii="Times New Roman" w:eastAsia="Times New Roman" w:hAnsi="Times New Roman" w:cs="Times New Roman" w:hint="default"/>
        <w:spacing w:val="-2"/>
        <w:w w:val="99"/>
        <w:sz w:val="24"/>
        <w:szCs w:val="24"/>
      </w:rPr>
    </w:lvl>
    <w:lvl w:ilvl="3">
      <w:numFmt w:val="bullet"/>
      <w:lvlText w:val="•"/>
      <w:lvlJc w:val="left"/>
      <w:pPr>
        <w:ind w:left="3496" w:hanging="540"/>
      </w:pPr>
      <w:rPr>
        <w:rFonts w:hint="default"/>
      </w:rPr>
    </w:lvl>
    <w:lvl w:ilvl="4">
      <w:numFmt w:val="bullet"/>
      <w:lvlText w:val="•"/>
      <w:lvlJc w:val="left"/>
      <w:pPr>
        <w:ind w:left="4415" w:hanging="540"/>
      </w:pPr>
      <w:rPr>
        <w:rFonts w:hint="default"/>
      </w:rPr>
    </w:lvl>
    <w:lvl w:ilvl="5">
      <w:numFmt w:val="bullet"/>
      <w:lvlText w:val="•"/>
      <w:lvlJc w:val="left"/>
      <w:pPr>
        <w:ind w:left="5333" w:hanging="540"/>
      </w:pPr>
      <w:rPr>
        <w:rFonts w:hint="default"/>
      </w:rPr>
    </w:lvl>
    <w:lvl w:ilvl="6">
      <w:numFmt w:val="bullet"/>
      <w:lvlText w:val="•"/>
      <w:lvlJc w:val="left"/>
      <w:pPr>
        <w:ind w:left="6252" w:hanging="540"/>
      </w:pPr>
      <w:rPr>
        <w:rFonts w:hint="default"/>
      </w:rPr>
    </w:lvl>
    <w:lvl w:ilvl="7">
      <w:numFmt w:val="bullet"/>
      <w:lvlText w:val="•"/>
      <w:lvlJc w:val="left"/>
      <w:pPr>
        <w:ind w:left="7170" w:hanging="540"/>
      </w:pPr>
      <w:rPr>
        <w:rFonts w:hint="default"/>
      </w:rPr>
    </w:lvl>
    <w:lvl w:ilvl="8">
      <w:numFmt w:val="bullet"/>
      <w:lvlText w:val="•"/>
      <w:lvlJc w:val="left"/>
      <w:pPr>
        <w:ind w:left="8089" w:hanging="540"/>
      </w:pPr>
      <w:rPr>
        <w:rFonts w:hint="default"/>
      </w:rPr>
    </w:lvl>
  </w:abstractNum>
  <w:abstractNum w:abstractNumId="1" w15:restartNumberingAfterBreak="0">
    <w:nsid w:val="051F2121"/>
    <w:multiLevelType w:val="hybridMultilevel"/>
    <w:tmpl w:val="F86CFB64"/>
    <w:lvl w:ilvl="0" w:tplc="82E62500">
      <w:start w:val="1"/>
      <w:numFmt w:val="decimal"/>
      <w:lvlText w:val="%1."/>
      <w:lvlJc w:val="left"/>
      <w:pPr>
        <w:ind w:left="720" w:hanging="360"/>
      </w:pPr>
      <w:rPr>
        <w:rFonts w:hint="default"/>
        <w:color w:val="auto"/>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52D4859"/>
    <w:multiLevelType w:val="hybridMultilevel"/>
    <w:tmpl w:val="F0963B7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F317800"/>
    <w:multiLevelType w:val="hybridMultilevel"/>
    <w:tmpl w:val="B82E691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3E55C71"/>
    <w:multiLevelType w:val="hybridMultilevel"/>
    <w:tmpl w:val="083429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7A66F08"/>
    <w:multiLevelType w:val="hybridMultilevel"/>
    <w:tmpl w:val="84F8A04A"/>
    <w:lvl w:ilvl="0" w:tplc="44090001">
      <w:start w:val="1"/>
      <w:numFmt w:val="bullet"/>
      <w:lvlText w:val=""/>
      <w:lvlJc w:val="left"/>
      <w:pPr>
        <w:ind w:left="1571" w:hanging="360"/>
      </w:pPr>
      <w:rPr>
        <w:rFonts w:ascii="Symbol" w:hAnsi="Symbol" w:hint="default"/>
      </w:rPr>
    </w:lvl>
    <w:lvl w:ilvl="1" w:tplc="44090003" w:tentative="1">
      <w:start w:val="1"/>
      <w:numFmt w:val="bullet"/>
      <w:lvlText w:val="o"/>
      <w:lvlJc w:val="left"/>
      <w:pPr>
        <w:ind w:left="2291" w:hanging="360"/>
      </w:pPr>
      <w:rPr>
        <w:rFonts w:ascii="Courier New" w:hAnsi="Courier New" w:cs="Courier New" w:hint="default"/>
      </w:rPr>
    </w:lvl>
    <w:lvl w:ilvl="2" w:tplc="44090005" w:tentative="1">
      <w:start w:val="1"/>
      <w:numFmt w:val="bullet"/>
      <w:lvlText w:val=""/>
      <w:lvlJc w:val="left"/>
      <w:pPr>
        <w:ind w:left="3011" w:hanging="360"/>
      </w:pPr>
      <w:rPr>
        <w:rFonts w:ascii="Wingdings" w:hAnsi="Wingdings" w:hint="default"/>
      </w:rPr>
    </w:lvl>
    <w:lvl w:ilvl="3" w:tplc="44090001" w:tentative="1">
      <w:start w:val="1"/>
      <w:numFmt w:val="bullet"/>
      <w:lvlText w:val=""/>
      <w:lvlJc w:val="left"/>
      <w:pPr>
        <w:ind w:left="3731" w:hanging="360"/>
      </w:pPr>
      <w:rPr>
        <w:rFonts w:ascii="Symbol" w:hAnsi="Symbol" w:hint="default"/>
      </w:rPr>
    </w:lvl>
    <w:lvl w:ilvl="4" w:tplc="44090003" w:tentative="1">
      <w:start w:val="1"/>
      <w:numFmt w:val="bullet"/>
      <w:lvlText w:val="o"/>
      <w:lvlJc w:val="left"/>
      <w:pPr>
        <w:ind w:left="4451" w:hanging="360"/>
      </w:pPr>
      <w:rPr>
        <w:rFonts w:ascii="Courier New" w:hAnsi="Courier New" w:cs="Courier New" w:hint="default"/>
      </w:rPr>
    </w:lvl>
    <w:lvl w:ilvl="5" w:tplc="44090005" w:tentative="1">
      <w:start w:val="1"/>
      <w:numFmt w:val="bullet"/>
      <w:lvlText w:val=""/>
      <w:lvlJc w:val="left"/>
      <w:pPr>
        <w:ind w:left="5171" w:hanging="360"/>
      </w:pPr>
      <w:rPr>
        <w:rFonts w:ascii="Wingdings" w:hAnsi="Wingdings" w:hint="default"/>
      </w:rPr>
    </w:lvl>
    <w:lvl w:ilvl="6" w:tplc="44090001" w:tentative="1">
      <w:start w:val="1"/>
      <w:numFmt w:val="bullet"/>
      <w:lvlText w:val=""/>
      <w:lvlJc w:val="left"/>
      <w:pPr>
        <w:ind w:left="5891" w:hanging="360"/>
      </w:pPr>
      <w:rPr>
        <w:rFonts w:ascii="Symbol" w:hAnsi="Symbol" w:hint="default"/>
      </w:rPr>
    </w:lvl>
    <w:lvl w:ilvl="7" w:tplc="44090003" w:tentative="1">
      <w:start w:val="1"/>
      <w:numFmt w:val="bullet"/>
      <w:lvlText w:val="o"/>
      <w:lvlJc w:val="left"/>
      <w:pPr>
        <w:ind w:left="6611" w:hanging="360"/>
      </w:pPr>
      <w:rPr>
        <w:rFonts w:ascii="Courier New" w:hAnsi="Courier New" w:cs="Courier New" w:hint="default"/>
      </w:rPr>
    </w:lvl>
    <w:lvl w:ilvl="8" w:tplc="44090005" w:tentative="1">
      <w:start w:val="1"/>
      <w:numFmt w:val="bullet"/>
      <w:lvlText w:val=""/>
      <w:lvlJc w:val="left"/>
      <w:pPr>
        <w:ind w:left="7331" w:hanging="360"/>
      </w:pPr>
      <w:rPr>
        <w:rFonts w:ascii="Wingdings" w:hAnsi="Wingdings" w:hint="default"/>
      </w:rPr>
    </w:lvl>
  </w:abstractNum>
  <w:abstractNum w:abstractNumId="6" w15:restartNumberingAfterBreak="0">
    <w:nsid w:val="1A8F0748"/>
    <w:multiLevelType w:val="multilevel"/>
    <w:tmpl w:val="093222C8"/>
    <w:lvl w:ilvl="0">
      <w:start w:val="2"/>
      <w:numFmt w:val="decimal"/>
      <w:lvlText w:val="%1"/>
      <w:lvlJc w:val="left"/>
      <w:pPr>
        <w:ind w:left="405" w:hanging="40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EA843FD"/>
    <w:multiLevelType w:val="multilevel"/>
    <w:tmpl w:val="2F50842C"/>
    <w:lvl w:ilvl="0">
      <w:start w:val="2"/>
      <w:numFmt w:val="decimal"/>
      <w:lvlText w:val="%1"/>
      <w:lvlJc w:val="left"/>
      <w:pPr>
        <w:ind w:left="1271" w:hanging="363"/>
      </w:pPr>
      <w:rPr>
        <w:rFonts w:hint="default"/>
      </w:rPr>
    </w:lvl>
    <w:lvl w:ilvl="1">
      <w:start w:val="1"/>
      <w:numFmt w:val="decimal"/>
      <w:lvlText w:val="%1.%2"/>
      <w:lvlJc w:val="left"/>
      <w:pPr>
        <w:ind w:left="1271" w:hanging="363"/>
      </w:pPr>
      <w:rPr>
        <w:rFonts w:ascii="Times New Roman" w:eastAsia="Times New Roman" w:hAnsi="Times New Roman" w:cs="Times New Roman" w:hint="default"/>
        <w:w w:val="100"/>
        <w:sz w:val="24"/>
        <w:szCs w:val="24"/>
      </w:rPr>
    </w:lvl>
    <w:lvl w:ilvl="2">
      <w:start w:val="1"/>
      <w:numFmt w:val="decimal"/>
      <w:lvlText w:val="%1.%2.%3"/>
      <w:lvlJc w:val="left"/>
      <w:pPr>
        <w:ind w:left="1787" w:hanging="879"/>
      </w:pPr>
      <w:rPr>
        <w:rFonts w:ascii="Times New Roman" w:eastAsia="Times New Roman" w:hAnsi="Times New Roman" w:cs="Times New Roman" w:hint="default"/>
        <w:spacing w:val="-5"/>
        <w:w w:val="100"/>
        <w:sz w:val="24"/>
        <w:szCs w:val="24"/>
      </w:rPr>
    </w:lvl>
    <w:lvl w:ilvl="3">
      <w:numFmt w:val="bullet"/>
      <w:lvlText w:val="•"/>
      <w:lvlJc w:val="left"/>
      <w:pPr>
        <w:ind w:left="3590" w:hanging="879"/>
      </w:pPr>
      <w:rPr>
        <w:rFonts w:hint="default"/>
      </w:rPr>
    </w:lvl>
    <w:lvl w:ilvl="4">
      <w:numFmt w:val="bullet"/>
      <w:lvlText w:val="•"/>
      <w:lvlJc w:val="left"/>
      <w:pPr>
        <w:ind w:left="4495" w:hanging="879"/>
      </w:pPr>
      <w:rPr>
        <w:rFonts w:hint="default"/>
      </w:rPr>
    </w:lvl>
    <w:lvl w:ilvl="5">
      <w:numFmt w:val="bullet"/>
      <w:lvlText w:val="•"/>
      <w:lvlJc w:val="left"/>
      <w:pPr>
        <w:ind w:left="5400" w:hanging="879"/>
      </w:pPr>
      <w:rPr>
        <w:rFonts w:hint="default"/>
      </w:rPr>
    </w:lvl>
    <w:lvl w:ilvl="6">
      <w:numFmt w:val="bullet"/>
      <w:lvlText w:val="•"/>
      <w:lvlJc w:val="left"/>
      <w:pPr>
        <w:ind w:left="6305" w:hanging="879"/>
      </w:pPr>
      <w:rPr>
        <w:rFonts w:hint="default"/>
      </w:rPr>
    </w:lvl>
    <w:lvl w:ilvl="7">
      <w:numFmt w:val="bullet"/>
      <w:lvlText w:val="•"/>
      <w:lvlJc w:val="left"/>
      <w:pPr>
        <w:ind w:left="7210" w:hanging="879"/>
      </w:pPr>
      <w:rPr>
        <w:rFonts w:hint="default"/>
      </w:rPr>
    </w:lvl>
    <w:lvl w:ilvl="8">
      <w:numFmt w:val="bullet"/>
      <w:lvlText w:val="•"/>
      <w:lvlJc w:val="left"/>
      <w:pPr>
        <w:ind w:left="8116" w:hanging="879"/>
      </w:pPr>
      <w:rPr>
        <w:rFonts w:hint="default"/>
      </w:rPr>
    </w:lvl>
  </w:abstractNum>
  <w:abstractNum w:abstractNumId="8" w15:restartNumberingAfterBreak="0">
    <w:nsid w:val="2AF70B5A"/>
    <w:multiLevelType w:val="hybridMultilevel"/>
    <w:tmpl w:val="FD16F2F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E0A7CBF"/>
    <w:multiLevelType w:val="multilevel"/>
    <w:tmpl w:val="CC3CA12C"/>
    <w:lvl w:ilvl="0">
      <w:start w:val="3"/>
      <w:numFmt w:val="decimal"/>
      <w:lvlText w:val="%1"/>
      <w:lvlJc w:val="left"/>
      <w:pPr>
        <w:ind w:left="1271" w:hanging="363"/>
      </w:pPr>
      <w:rPr>
        <w:rFonts w:hint="default"/>
      </w:rPr>
    </w:lvl>
    <w:lvl w:ilvl="1">
      <w:start w:val="1"/>
      <w:numFmt w:val="decimal"/>
      <w:lvlText w:val="%1.%2"/>
      <w:lvlJc w:val="left"/>
      <w:pPr>
        <w:ind w:left="1271" w:hanging="363"/>
      </w:pPr>
      <w:rPr>
        <w:rFonts w:ascii="Times New Roman" w:eastAsia="Times New Roman" w:hAnsi="Times New Roman" w:cs="Times New Roman" w:hint="default"/>
        <w:w w:val="100"/>
        <w:sz w:val="24"/>
        <w:szCs w:val="24"/>
      </w:rPr>
    </w:lvl>
    <w:lvl w:ilvl="2">
      <w:start w:val="1"/>
      <w:numFmt w:val="decimal"/>
      <w:lvlText w:val="%1.%2.%3"/>
      <w:lvlJc w:val="left"/>
      <w:pPr>
        <w:ind w:left="1667" w:hanging="540"/>
      </w:pPr>
      <w:rPr>
        <w:rFonts w:ascii="Times New Roman" w:eastAsia="Times New Roman" w:hAnsi="Times New Roman" w:cs="Times New Roman" w:hint="default"/>
        <w:spacing w:val="-1"/>
        <w:w w:val="99"/>
        <w:sz w:val="24"/>
        <w:szCs w:val="24"/>
      </w:rPr>
    </w:lvl>
    <w:lvl w:ilvl="3">
      <w:numFmt w:val="bullet"/>
      <w:lvlText w:val="•"/>
      <w:lvlJc w:val="left"/>
      <w:pPr>
        <w:ind w:left="3496" w:hanging="540"/>
      </w:pPr>
      <w:rPr>
        <w:rFonts w:hint="default"/>
      </w:rPr>
    </w:lvl>
    <w:lvl w:ilvl="4">
      <w:numFmt w:val="bullet"/>
      <w:lvlText w:val="•"/>
      <w:lvlJc w:val="left"/>
      <w:pPr>
        <w:ind w:left="4415" w:hanging="540"/>
      </w:pPr>
      <w:rPr>
        <w:rFonts w:hint="default"/>
      </w:rPr>
    </w:lvl>
    <w:lvl w:ilvl="5">
      <w:numFmt w:val="bullet"/>
      <w:lvlText w:val="•"/>
      <w:lvlJc w:val="left"/>
      <w:pPr>
        <w:ind w:left="5333" w:hanging="540"/>
      </w:pPr>
      <w:rPr>
        <w:rFonts w:hint="default"/>
      </w:rPr>
    </w:lvl>
    <w:lvl w:ilvl="6">
      <w:numFmt w:val="bullet"/>
      <w:lvlText w:val="•"/>
      <w:lvlJc w:val="left"/>
      <w:pPr>
        <w:ind w:left="6252" w:hanging="540"/>
      </w:pPr>
      <w:rPr>
        <w:rFonts w:hint="default"/>
      </w:rPr>
    </w:lvl>
    <w:lvl w:ilvl="7">
      <w:numFmt w:val="bullet"/>
      <w:lvlText w:val="•"/>
      <w:lvlJc w:val="left"/>
      <w:pPr>
        <w:ind w:left="7170" w:hanging="540"/>
      </w:pPr>
      <w:rPr>
        <w:rFonts w:hint="default"/>
      </w:rPr>
    </w:lvl>
    <w:lvl w:ilvl="8">
      <w:numFmt w:val="bullet"/>
      <w:lvlText w:val="•"/>
      <w:lvlJc w:val="left"/>
      <w:pPr>
        <w:ind w:left="8089" w:hanging="540"/>
      </w:pPr>
      <w:rPr>
        <w:rFonts w:hint="default"/>
      </w:rPr>
    </w:lvl>
  </w:abstractNum>
  <w:abstractNum w:abstractNumId="10" w15:restartNumberingAfterBreak="0">
    <w:nsid w:val="37C4286E"/>
    <w:multiLevelType w:val="hybridMultilevel"/>
    <w:tmpl w:val="06EC0FF0"/>
    <w:lvl w:ilvl="0" w:tplc="07A6B3B8">
      <w:start w:val="1"/>
      <w:numFmt w:val="decimal"/>
      <w:lvlText w:val="%1."/>
      <w:lvlJc w:val="left"/>
      <w:pPr>
        <w:ind w:left="720" w:hanging="360"/>
      </w:pPr>
      <w:rPr>
        <w:rFonts w:hint="default"/>
        <w:color w:val="auto"/>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0390495"/>
    <w:multiLevelType w:val="multilevel"/>
    <w:tmpl w:val="9AA0805C"/>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DD0C2C"/>
    <w:multiLevelType w:val="hybridMultilevel"/>
    <w:tmpl w:val="5574ABB4"/>
    <w:lvl w:ilvl="0" w:tplc="E6F012D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CF81E7E"/>
    <w:multiLevelType w:val="multilevel"/>
    <w:tmpl w:val="E0F472D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E0610E3"/>
    <w:multiLevelType w:val="hybridMultilevel"/>
    <w:tmpl w:val="83D4EEA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C0A2389"/>
    <w:multiLevelType w:val="hybridMultilevel"/>
    <w:tmpl w:val="EF38DC6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5EC60A4B"/>
    <w:multiLevelType w:val="multilevel"/>
    <w:tmpl w:val="2CD672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EF241C"/>
    <w:multiLevelType w:val="hybridMultilevel"/>
    <w:tmpl w:val="1AA473BC"/>
    <w:lvl w:ilvl="0" w:tplc="342022A2">
      <w:start w:val="1"/>
      <w:numFmt w:val="decimal"/>
      <w:lvlText w:val="%1."/>
      <w:lvlJc w:val="left"/>
      <w:pPr>
        <w:ind w:left="720" w:hanging="360"/>
      </w:pPr>
      <w:rPr>
        <w:rFonts w:hint="default"/>
        <w:color w:val="auto"/>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63557AA1"/>
    <w:multiLevelType w:val="multilevel"/>
    <w:tmpl w:val="0012F792"/>
    <w:lvl w:ilvl="0">
      <w:start w:val="1"/>
      <w:numFmt w:val="decimal"/>
      <w:lvlText w:val="%1"/>
      <w:lvlJc w:val="left"/>
      <w:pPr>
        <w:ind w:left="1271" w:hanging="363"/>
      </w:pPr>
      <w:rPr>
        <w:rFonts w:hint="default"/>
      </w:rPr>
    </w:lvl>
    <w:lvl w:ilvl="1">
      <w:start w:val="1"/>
      <w:numFmt w:val="decimal"/>
      <w:lvlText w:val="%1.%2"/>
      <w:lvlJc w:val="left"/>
      <w:pPr>
        <w:ind w:left="1271" w:hanging="363"/>
      </w:pPr>
      <w:rPr>
        <w:rFonts w:ascii="Times New Roman" w:eastAsia="Times New Roman" w:hAnsi="Times New Roman" w:cs="Times New Roman" w:hint="default"/>
        <w:w w:val="100"/>
        <w:sz w:val="24"/>
        <w:szCs w:val="24"/>
      </w:rPr>
    </w:lvl>
    <w:lvl w:ilvl="2">
      <w:start w:val="1"/>
      <w:numFmt w:val="decimal"/>
      <w:lvlText w:val="%1.%2.%3"/>
      <w:lvlJc w:val="left"/>
      <w:pPr>
        <w:ind w:left="1667" w:hanging="540"/>
      </w:pPr>
      <w:rPr>
        <w:rFonts w:ascii="Times New Roman" w:eastAsia="Times New Roman" w:hAnsi="Times New Roman" w:cs="Times New Roman" w:hint="default"/>
        <w:spacing w:val="-2"/>
        <w:w w:val="99"/>
        <w:sz w:val="24"/>
        <w:szCs w:val="24"/>
      </w:rPr>
    </w:lvl>
    <w:lvl w:ilvl="3">
      <w:numFmt w:val="bullet"/>
      <w:lvlText w:val="•"/>
      <w:lvlJc w:val="left"/>
      <w:pPr>
        <w:ind w:left="3496" w:hanging="540"/>
      </w:pPr>
      <w:rPr>
        <w:rFonts w:hint="default"/>
      </w:rPr>
    </w:lvl>
    <w:lvl w:ilvl="4">
      <w:numFmt w:val="bullet"/>
      <w:lvlText w:val="•"/>
      <w:lvlJc w:val="left"/>
      <w:pPr>
        <w:ind w:left="4415" w:hanging="540"/>
      </w:pPr>
      <w:rPr>
        <w:rFonts w:hint="default"/>
      </w:rPr>
    </w:lvl>
    <w:lvl w:ilvl="5">
      <w:numFmt w:val="bullet"/>
      <w:lvlText w:val="•"/>
      <w:lvlJc w:val="left"/>
      <w:pPr>
        <w:ind w:left="5333" w:hanging="540"/>
      </w:pPr>
      <w:rPr>
        <w:rFonts w:hint="default"/>
      </w:rPr>
    </w:lvl>
    <w:lvl w:ilvl="6">
      <w:numFmt w:val="bullet"/>
      <w:lvlText w:val="•"/>
      <w:lvlJc w:val="left"/>
      <w:pPr>
        <w:ind w:left="6252" w:hanging="540"/>
      </w:pPr>
      <w:rPr>
        <w:rFonts w:hint="default"/>
      </w:rPr>
    </w:lvl>
    <w:lvl w:ilvl="7">
      <w:numFmt w:val="bullet"/>
      <w:lvlText w:val="•"/>
      <w:lvlJc w:val="left"/>
      <w:pPr>
        <w:ind w:left="7170" w:hanging="540"/>
      </w:pPr>
      <w:rPr>
        <w:rFonts w:hint="default"/>
      </w:rPr>
    </w:lvl>
    <w:lvl w:ilvl="8">
      <w:numFmt w:val="bullet"/>
      <w:lvlText w:val="•"/>
      <w:lvlJc w:val="left"/>
      <w:pPr>
        <w:ind w:left="8089" w:hanging="540"/>
      </w:pPr>
      <w:rPr>
        <w:rFonts w:hint="default"/>
      </w:rPr>
    </w:lvl>
  </w:abstractNum>
  <w:abstractNum w:abstractNumId="19" w15:restartNumberingAfterBreak="0">
    <w:nsid w:val="679D3AF6"/>
    <w:multiLevelType w:val="hybridMultilevel"/>
    <w:tmpl w:val="F46A4D9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708273FE"/>
    <w:multiLevelType w:val="hybridMultilevel"/>
    <w:tmpl w:val="498AC5BC"/>
    <w:lvl w:ilvl="0" w:tplc="A4BA1B3C">
      <w:start w:val="1"/>
      <w:numFmt w:val="decimal"/>
      <w:lvlText w:val="%1."/>
      <w:lvlJc w:val="left"/>
      <w:pPr>
        <w:ind w:left="720" w:hanging="360"/>
      </w:pPr>
      <w:rPr>
        <w:rFonts w:hint="default"/>
        <w:color w:val="auto"/>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11"/>
  </w:num>
  <w:num w:numId="3">
    <w:abstractNumId w:val="15"/>
  </w:num>
  <w:num w:numId="4">
    <w:abstractNumId w:val="5"/>
  </w:num>
  <w:num w:numId="5">
    <w:abstractNumId w:val="13"/>
  </w:num>
  <w:num w:numId="6">
    <w:abstractNumId w:val="16"/>
  </w:num>
  <w:num w:numId="7">
    <w:abstractNumId w:val="6"/>
  </w:num>
  <w:num w:numId="8">
    <w:abstractNumId w:val="14"/>
  </w:num>
  <w:num w:numId="9">
    <w:abstractNumId w:val="9"/>
  </w:num>
  <w:num w:numId="10">
    <w:abstractNumId w:val="0"/>
  </w:num>
  <w:num w:numId="11">
    <w:abstractNumId w:val="7"/>
  </w:num>
  <w:num w:numId="12">
    <w:abstractNumId w:val="18"/>
  </w:num>
  <w:num w:numId="13">
    <w:abstractNumId w:val="4"/>
  </w:num>
  <w:num w:numId="14">
    <w:abstractNumId w:val="1"/>
  </w:num>
  <w:num w:numId="15">
    <w:abstractNumId w:val="20"/>
  </w:num>
  <w:num w:numId="16">
    <w:abstractNumId w:val="17"/>
  </w:num>
  <w:num w:numId="17">
    <w:abstractNumId w:val="8"/>
  </w:num>
  <w:num w:numId="18">
    <w:abstractNumId w:val="10"/>
  </w:num>
  <w:num w:numId="19">
    <w:abstractNumId w:val="19"/>
  </w:num>
  <w:num w:numId="20">
    <w:abstractNumId w:val="2"/>
  </w:num>
  <w:num w:numId="21">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awati binti Sahari">
    <w15:presenceInfo w15:providerId="None" w15:userId="Salawati binti Sah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16"/>
    <w:rsid w:val="00012E6C"/>
    <w:rsid w:val="00031B2C"/>
    <w:rsid w:val="000A59E5"/>
    <w:rsid w:val="000F1EF7"/>
    <w:rsid w:val="00146216"/>
    <w:rsid w:val="00195CEE"/>
    <w:rsid w:val="002B7F2B"/>
    <w:rsid w:val="002D4E28"/>
    <w:rsid w:val="00330119"/>
    <w:rsid w:val="003C57D6"/>
    <w:rsid w:val="004064A1"/>
    <w:rsid w:val="004456CC"/>
    <w:rsid w:val="004A2BD8"/>
    <w:rsid w:val="004F744D"/>
    <w:rsid w:val="005B271F"/>
    <w:rsid w:val="005B565F"/>
    <w:rsid w:val="006D565E"/>
    <w:rsid w:val="006D6845"/>
    <w:rsid w:val="0084268E"/>
    <w:rsid w:val="008B6070"/>
    <w:rsid w:val="00985BDC"/>
    <w:rsid w:val="009C3E8D"/>
    <w:rsid w:val="00AE26AE"/>
    <w:rsid w:val="00AF78E0"/>
    <w:rsid w:val="00B100C0"/>
    <w:rsid w:val="00C4022A"/>
    <w:rsid w:val="00CF29E2"/>
    <w:rsid w:val="00D02184"/>
    <w:rsid w:val="00DC0C1D"/>
    <w:rsid w:val="00DC45D3"/>
    <w:rsid w:val="00DC5B7F"/>
    <w:rsid w:val="00DD20DB"/>
    <w:rsid w:val="00E8650D"/>
    <w:rsid w:val="00EB193A"/>
    <w:rsid w:val="00F25497"/>
    <w:rsid w:val="00F863EF"/>
    <w:rsid w:val="00FD225C"/>
    <w:rsid w:val="00FF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7B2A1"/>
  <w15:chartTrackingRefBased/>
  <w15:docId w15:val="{1FF0E597-4AF5-49AA-9636-6AE86F70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9E5"/>
    <w:rPr>
      <w:lang w:val="en-MY"/>
    </w:rPr>
  </w:style>
  <w:style w:type="paragraph" w:styleId="Heading1">
    <w:name w:val="heading 1"/>
    <w:basedOn w:val="Normal"/>
    <w:next w:val="Normal"/>
    <w:link w:val="Heading1Char"/>
    <w:uiPriority w:val="9"/>
    <w:qFormat/>
    <w:rsid w:val="002D4E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A59E5"/>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paragraph" w:styleId="Heading3">
    <w:name w:val="heading 3"/>
    <w:basedOn w:val="Normal"/>
    <w:next w:val="Normal"/>
    <w:link w:val="Heading3Char"/>
    <w:uiPriority w:val="9"/>
    <w:unhideWhenUsed/>
    <w:qFormat/>
    <w:rsid w:val="000A59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A59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D4E2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59E5"/>
    <w:rPr>
      <w:rFonts w:ascii="Times New Roman" w:eastAsia="Times New Roman" w:hAnsi="Times New Roman" w:cs="Times New Roman"/>
      <w:b/>
      <w:bCs/>
      <w:sz w:val="36"/>
      <w:szCs w:val="36"/>
      <w:lang w:val="en-MY" w:eastAsia="en-MY"/>
    </w:rPr>
  </w:style>
  <w:style w:type="character" w:customStyle="1" w:styleId="Heading3Char">
    <w:name w:val="Heading 3 Char"/>
    <w:basedOn w:val="DefaultParagraphFont"/>
    <w:link w:val="Heading3"/>
    <w:uiPriority w:val="9"/>
    <w:rsid w:val="000A59E5"/>
    <w:rPr>
      <w:rFonts w:asciiTheme="majorHAnsi" w:eastAsiaTheme="majorEastAsia" w:hAnsiTheme="majorHAnsi" w:cstheme="majorBidi"/>
      <w:color w:val="1F4D78" w:themeColor="accent1" w:themeShade="7F"/>
      <w:sz w:val="24"/>
      <w:szCs w:val="24"/>
      <w:lang w:val="en-MY"/>
    </w:rPr>
  </w:style>
  <w:style w:type="paragraph" w:styleId="ListParagraph">
    <w:name w:val="List Paragraph"/>
    <w:basedOn w:val="Normal"/>
    <w:uiPriority w:val="34"/>
    <w:qFormat/>
    <w:rsid w:val="000A59E5"/>
    <w:pPr>
      <w:ind w:left="720"/>
      <w:contextualSpacing/>
    </w:pPr>
  </w:style>
  <w:style w:type="paragraph" w:styleId="Caption">
    <w:name w:val="caption"/>
    <w:basedOn w:val="Normal"/>
    <w:next w:val="Normal"/>
    <w:uiPriority w:val="35"/>
    <w:unhideWhenUsed/>
    <w:qFormat/>
    <w:rsid w:val="000A59E5"/>
    <w:pPr>
      <w:spacing w:after="200" w:line="240" w:lineRule="auto"/>
    </w:pPr>
    <w:rPr>
      <w:i/>
      <w:iCs/>
      <w:color w:val="44546A" w:themeColor="text2"/>
      <w:sz w:val="18"/>
      <w:szCs w:val="18"/>
    </w:rPr>
  </w:style>
  <w:style w:type="paragraph" w:customStyle="1" w:styleId="Default">
    <w:name w:val="Default"/>
    <w:rsid w:val="000A59E5"/>
    <w:pPr>
      <w:autoSpaceDE w:val="0"/>
      <w:autoSpaceDN w:val="0"/>
      <w:adjustRightInd w:val="0"/>
      <w:spacing w:after="0" w:line="240" w:lineRule="auto"/>
    </w:pPr>
    <w:rPr>
      <w:rFonts w:ascii="Times New Roman" w:hAnsi="Times New Roman" w:cs="Times New Roman"/>
      <w:color w:val="000000"/>
      <w:sz w:val="24"/>
      <w:szCs w:val="24"/>
      <w:lang w:val="en-MY"/>
    </w:rPr>
  </w:style>
  <w:style w:type="character" w:customStyle="1" w:styleId="Heading4Char">
    <w:name w:val="Heading 4 Char"/>
    <w:basedOn w:val="DefaultParagraphFont"/>
    <w:link w:val="Heading4"/>
    <w:uiPriority w:val="9"/>
    <w:rsid w:val="000A59E5"/>
    <w:rPr>
      <w:rFonts w:asciiTheme="majorHAnsi" w:eastAsiaTheme="majorEastAsia" w:hAnsiTheme="majorHAnsi" w:cstheme="majorBidi"/>
      <w:i/>
      <w:iCs/>
      <w:color w:val="2E74B5" w:themeColor="accent1" w:themeShade="BF"/>
      <w:lang w:val="en-MY"/>
    </w:rPr>
  </w:style>
  <w:style w:type="character" w:customStyle="1" w:styleId="Heading1Char">
    <w:name w:val="Heading 1 Char"/>
    <w:basedOn w:val="DefaultParagraphFont"/>
    <w:link w:val="Heading1"/>
    <w:uiPriority w:val="9"/>
    <w:rsid w:val="002D4E28"/>
    <w:rPr>
      <w:rFonts w:asciiTheme="majorHAnsi" w:eastAsiaTheme="majorEastAsia" w:hAnsiTheme="majorHAnsi" w:cstheme="majorBidi"/>
      <w:color w:val="2E74B5" w:themeColor="accent1" w:themeShade="BF"/>
      <w:sz w:val="32"/>
      <w:szCs w:val="32"/>
      <w:lang w:val="en-MY"/>
    </w:rPr>
  </w:style>
  <w:style w:type="character" w:customStyle="1" w:styleId="Heading5Char">
    <w:name w:val="Heading 5 Char"/>
    <w:basedOn w:val="DefaultParagraphFont"/>
    <w:link w:val="Heading5"/>
    <w:uiPriority w:val="9"/>
    <w:rsid w:val="002D4E28"/>
    <w:rPr>
      <w:rFonts w:asciiTheme="majorHAnsi" w:eastAsiaTheme="majorEastAsia" w:hAnsiTheme="majorHAnsi" w:cstheme="majorBidi"/>
      <w:color w:val="2E74B5" w:themeColor="accent1" w:themeShade="BF"/>
      <w:lang w:val="en-MY"/>
    </w:rPr>
  </w:style>
  <w:style w:type="character" w:styleId="Hyperlink">
    <w:name w:val="Hyperlink"/>
    <w:basedOn w:val="DefaultParagraphFont"/>
    <w:uiPriority w:val="99"/>
    <w:unhideWhenUsed/>
    <w:rsid w:val="002D4E28"/>
    <w:rPr>
      <w:color w:val="0000FF"/>
      <w:u w:val="single"/>
    </w:rPr>
  </w:style>
  <w:style w:type="character" w:customStyle="1" w:styleId="citationref">
    <w:name w:val="citationref"/>
    <w:basedOn w:val="DefaultParagraphFont"/>
    <w:rsid w:val="002D4E28"/>
  </w:style>
  <w:style w:type="character" w:customStyle="1" w:styleId="UnresolvedMention1">
    <w:name w:val="Unresolved Mention1"/>
    <w:basedOn w:val="DefaultParagraphFont"/>
    <w:uiPriority w:val="99"/>
    <w:semiHidden/>
    <w:unhideWhenUsed/>
    <w:rsid w:val="002D4E28"/>
    <w:rPr>
      <w:color w:val="605E5C"/>
      <w:shd w:val="clear" w:color="auto" w:fill="E1DFDD"/>
    </w:rPr>
  </w:style>
  <w:style w:type="paragraph" w:styleId="Header">
    <w:name w:val="header"/>
    <w:basedOn w:val="Normal"/>
    <w:link w:val="HeaderChar"/>
    <w:uiPriority w:val="99"/>
    <w:unhideWhenUsed/>
    <w:rsid w:val="002D4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E28"/>
    <w:rPr>
      <w:lang w:val="en-MY"/>
    </w:rPr>
  </w:style>
  <w:style w:type="paragraph" w:styleId="Footer">
    <w:name w:val="footer"/>
    <w:basedOn w:val="Normal"/>
    <w:link w:val="FooterChar"/>
    <w:uiPriority w:val="99"/>
    <w:unhideWhenUsed/>
    <w:rsid w:val="002D4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E28"/>
    <w:rPr>
      <w:lang w:val="en-MY"/>
    </w:rPr>
  </w:style>
  <w:style w:type="character" w:styleId="PlaceholderText">
    <w:name w:val="Placeholder Text"/>
    <w:basedOn w:val="DefaultParagraphFont"/>
    <w:uiPriority w:val="99"/>
    <w:semiHidden/>
    <w:rsid w:val="002D4E28"/>
    <w:rPr>
      <w:color w:val="808080"/>
    </w:rPr>
  </w:style>
  <w:style w:type="paragraph" w:styleId="NormalWeb">
    <w:name w:val="Normal (Web)"/>
    <w:basedOn w:val="Normal"/>
    <w:uiPriority w:val="99"/>
    <w:unhideWhenUsed/>
    <w:rsid w:val="002D4E28"/>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last">
    <w:name w:val="last"/>
    <w:basedOn w:val="Normal"/>
    <w:rsid w:val="002D4E28"/>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Pa14">
    <w:name w:val="Pa14"/>
    <w:basedOn w:val="Default"/>
    <w:next w:val="Default"/>
    <w:uiPriority w:val="99"/>
    <w:rsid w:val="002D4E28"/>
    <w:pPr>
      <w:spacing w:line="151" w:lineRule="atLeast"/>
    </w:pPr>
    <w:rPr>
      <w:rFonts w:ascii="Optima" w:hAnsi="Optima" w:cstheme="minorBidi"/>
      <w:color w:val="auto"/>
    </w:rPr>
  </w:style>
  <w:style w:type="character" w:styleId="Strong">
    <w:name w:val="Strong"/>
    <w:basedOn w:val="DefaultParagraphFont"/>
    <w:uiPriority w:val="22"/>
    <w:qFormat/>
    <w:rsid w:val="002D4E28"/>
    <w:rPr>
      <w:b/>
      <w:bCs/>
    </w:rPr>
  </w:style>
  <w:style w:type="character" w:customStyle="1" w:styleId="definition-url">
    <w:name w:val="definition-url"/>
    <w:basedOn w:val="DefaultParagraphFont"/>
    <w:rsid w:val="002D4E28"/>
  </w:style>
  <w:style w:type="table" w:styleId="TableGrid">
    <w:name w:val="Table Grid"/>
    <w:basedOn w:val="TableNormal"/>
    <w:uiPriority w:val="39"/>
    <w:rsid w:val="002D4E2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D4E28"/>
    <w:rPr>
      <w:i/>
      <w:iCs/>
    </w:rPr>
  </w:style>
  <w:style w:type="character" w:customStyle="1" w:styleId="ph">
    <w:name w:val="ph"/>
    <w:basedOn w:val="DefaultParagraphFont"/>
    <w:rsid w:val="002D4E28"/>
  </w:style>
  <w:style w:type="paragraph" w:styleId="TOCHeading">
    <w:name w:val="TOC Heading"/>
    <w:basedOn w:val="Heading1"/>
    <w:next w:val="Normal"/>
    <w:uiPriority w:val="39"/>
    <w:unhideWhenUsed/>
    <w:qFormat/>
    <w:rsid w:val="002D4E28"/>
    <w:pPr>
      <w:outlineLvl w:val="9"/>
    </w:pPr>
    <w:rPr>
      <w:lang w:val="en-US"/>
    </w:rPr>
  </w:style>
  <w:style w:type="paragraph" w:styleId="BalloonText">
    <w:name w:val="Balloon Text"/>
    <w:basedOn w:val="Normal"/>
    <w:link w:val="BalloonTextChar"/>
    <w:uiPriority w:val="99"/>
    <w:semiHidden/>
    <w:unhideWhenUsed/>
    <w:rsid w:val="002D4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E28"/>
    <w:rPr>
      <w:rFonts w:ascii="Segoe UI" w:hAnsi="Segoe UI" w:cs="Segoe UI"/>
      <w:sz w:val="18"/>
      <w:szCs w:val="18"/>
      <w:lang w:val="en-MY"/>
    </w:rPr>
  </w:style>
  <w:style w:type="paragraph" w:styleId="TOC1">
    <w:name w:val="toc 1"/>
    <w:basedOn w:val="Normal"/>
    <w:next w:val="Normal"/>
    <w:autoRedefine/>
    <w:uiPriority w:val="39"/>
    <w:unhideWhenUsed/>
    <w:rsid w:val="002D4E28"/>
    <w:pPr>
      <w:tabs>
        <w:tab w:val="right" w:leader="dot" w:pos="8188"/>
      </w:tabs>
      <w:spacing w:after="100" w:afterAutospacing="1" w:line="480" w:lineRule="auto"/>
      <w:ind w:left="1888" w:hanging="720"/>
    </w:pPr>
    <w:rPr>
      <w:rFonts w:ascii="Times New Roman" w:hAnsi="Times New Roman" w:cs="Times New Roman"/>
      <w:sz w:val="24"/>
      <w:szCs w:val="24"/>
    </w:rPr>
  </w:style>
  <w:style w:type="paragraph" w:styleId="TOC2">
    <w:name w:val="toc 2"/>
    <w:basedOn w:val="Normal"/>
    <w:next w:val="Normal"/>
    <w:autoRedefine/>
    <w:uiPriority w:val="39"/>
    <w:unhideWhenUsed/>
    <w:rsid w:val="002D4E28"/>
    <w:pPr>
      <w:spacing w:after="100"/>
      <w:ind w:left="220"/>
    </w:pPr>
  </w:style>
  <w:style w:type="paragraph" w:styleId="TOC3">
    <w:name w:val="toc 3"/>
    <w:basedOn w:val="Normal"/>
    <w:next w:val="Normal"/>
    <w:autoRedefine/>
    <w:uiPriority w:val="39"/>
    <w:unhideWhenUsed/>
    <w:rsid w:val="002D4E28"/>
    <w:pPr>
      <w:spacing w:after="100"/>
      <w:ind w:left="440"/>
    </w:pPr>
  </w:style>
  <w:style w:type="character" w:styleId="CommentReference">
    <w:name w:val="annotation reference"/>
    <w:basedOn w:val="DefaultParagraphFont"/>
    <w:uiPriority w:val="99"/>
    <w:semiHidden/>
    <w:unhideWhenUsed/>
    <w:rsid w:val="002D4E28"/>
    <w:rPr>
      <w:sz w:val="16"/>
      <w:szCs w:val="16"/>
    </w:rPr>
  </w:style>
  <w:style w:type="paragraph" w:styleId="CommentText">
    <w:name w:val="annotation text"/>
    <w:basedOn w:val="Normal"/>
    <w:link w:val="CommentTextChar"/>
    <w:uiPriority w:val="99"/>
    <w:semiHidden/>
    <w:unhideWhenUsed/>
    <w:rsid w:val="002D4E28"/>
    <w:pPr>
      <w:spacing w:line="240" w:lineRule="auto"/>
    </w:pPr>
    <w:rPr>
      <w:sz w:val="20"/>
      <w:szCs w:val="20"/>
    </w:rPr>
  </w:style>
  <w:style w:type="character" w:customStyle="1" w:styleId="CommentTextChar">
    <w:name w:val="Comment Text Char"/>
    <w:basedOn w:val="DefaultParagraphFont"/>
    <w:link w:val="CommentText"/>
    <w:uiPriority w:val="99"/>
    <w:semiHidden/>
    <w:rsid w:val="002D4E28"/>
    <w:rPr>
      <w:sz w:val="20"/>
      <w:szCs w:val="20"/>
      <w:lang w:val="en-MY"/>
    </w:rPr>
  </w:style>
  <w:style w:type="paragraph" w:styleId="CommentSubject">
    <w:name w:val="annotation subject"/>
    <w:basedOn w:val="CommentText"/>
    <w:next w:val="CommentText"/>
    <w:link w:val="CommentSubjectChar"/>
    <w:uiPriority w:val="99"/>
    <w:semiHidden/>
    <w:unhideWhenUsed/>
    <w:rsid w:val="002D4E28"/>
    <w:rPr>
      <w:b/>
      <w:bCs/>
    </w:rPr>
  </w:style>
  <w:style w:type="character" w:customStyle="1" w:styleId="CommentSubjectChar">
    <w:name w:val="Comment Subject Char"/>
    <w:basedOn w:val="CommentTextChar"/>
    <w:link w:val="CommentSubject"/>
    <w:uiPriority w:val="99"/>
    <w:semiHidden/>
    <w:rsid w:val="002D4E28"/>
    <w:rPr>
      <w:b/>
      <w:bCs/>
      <w:sz w:val="20"/>
      <w:szCs w:val="20"/>
      <w:lang w:val="en-MY"/>
    </w:rPr>
  </w:style>
  <w:style w:type="paragraph" w:styleId="TOC4">
    <w:name w:val="toc 4"/>
    <w:basedOn w:val="Normal"/>
    <w:next w:val="Normal"/>
    <w:autoRedefine/>
    <w:uiPriority w:val="39"/>
    <w:unhideWhenUsed/>
    <w:rsid w:val="002D4E28"/>
    <w:pPr>
      <w:spacing w:after="100"/>
      <w:ind w:left="660"/>
    </w:pPr>
  </w:style>
  <w:style w:type="paragraph" w:styleId="TOC5">
    <w:name w:val="toc 5"/>
    <w:basedOn w:val="Normal"/>
    <w:next w:val="Normal"/>
    <w:autoRedefine/>
    <w:uiPriority w:val="39"/>
    <w:unhideWhenUsed/>
    <w:rsid w:val="002D4E28"/>
    <w:pPr>
      <w:spacing w:after="100"/>
      <w:ind w:left="880"/>
    </w:pPr>
  </w:style>
  <w:style w:type="paragraph" w:styleId="BodyText">
    <w:name w:val="Body Text"/>
    <w:basedOn w:val="Normal"/>
    <w:link w:val="BodyTextChar"/>
    <w:uiPriority w:val="1"/>
    <w:qFormat/>
    <w:rsid w:val="002D4E2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D4E28"/>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2D4E28"/>
    <w:rPr>
      <w:color w:val="605E5C"/>
      <w:shd w:val="clear" w:color="auto" w:fill="E1DFDD"/>
    </w:rPr>
  </w:style>
  <w:style w:type="character" w:customStyle="1" w:styleId="user-generated">
    <w:name w:val="user-generated"/>
    <w:basedOn w:val="DefaultParagraphFont"/>
    <w:rsid w:val="002D4E28"/>
  </w:style>
  <w:style w:type="paragraph" w:styleId="TableofFigures">
    <w:name w:val="table of figures"/>
    <w:basedOn w:val="Normal"/>
    <w:next w:val="Normal"/>
    <w:uiPriority w:val="99"/>
    <w:unhideWhenUsed/>
    <w:rsid w:val="002D4E28"/>
    <w:pPr>
      <w:spacing w:after="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108/02652329610151340"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16353</Words>
  <Characters>93218</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Salawati binti Sahari</dc:creator>
  <cp:keywords/>
  <dc:description/>
  <cp:lastModifiedBy>Mohamad bin Jais</cp:lastModifiedBy>
  <cp:revision>4</cp:revision>
  <cp:lastPrinted>2020-12-02T05:38:00Z</cp:lastPrinted>
  <dcterms:created xsi:type="dcterms:W3CDTF">2020-12-30T03:01:00Z</dcterms:created>
  <dcterms:modified xsi:type="dcterms:W3CDTF">2020-12-30T04:32:00Z</dcterms:modified>
</cp:coreProperties>
</file>