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D1CED" w14:textId="77777777" w:rsidR="00A808EB" w:rsidRDefault="00A808EB" w:rsidP="00A808EB">
      <w:pPr>
        <w:jc w:val="center"/>
        <w:rPr>
          <w:rFonts w:asciiTheme="majorBidi" w:hAnsiTheme="majorBidi" w:cstheme="majorBidi"/>
          <w:b/>
          <w:bCs/>
          <w:lang w:bidi="ar-YE"/>
        </w:rPr>
      </w:pPr>
      <w:r w:rsidRPr="007723E9">
        <w:rPr>
          <w:rFonts w:asciiTheme="majorBidi" w:hAnsiTheme="majorBidi" w:cstheme="majorBidi"/>
          <w:b/>
          <w:bCs/>
          <w:sz w:val="28"/>
          <w:szCs w:val="28"/>
          <w:lang w:bidi="ar-YE"/>
        </w:rPr>
        <w:t>Intellectual Capital Efficiency and Firm Performance of Technology, Telecommunication and Media Companies in Malaysia</w:t>
      </w:r>
    </w:p>
    <w:p w14:paraId="207B751C" w14:textId="77777777" w:rsidR="00A808EB" w:rsidRDefault="00A808EB" w:rsidP="00A808EB">
      <w:pPr>
        <w:jc w:val="center"/>
        <w:rPr>
          <w:sz w:val="20"/>
        </w:rPr>
      </w:pPr>
    </w:p>
    <w:p w14:paraId="3B4871D0" w14:textId="77777777" w:rsidR="00A808EB" w:rsidRPr="007723E9" w:rsidRDefault="00A808EB" w:rsidP="00A808EB">
      <w:pPr>
        <w:jc w:val="center"/>
        <w:rPr>
          <w:sz w:val="26"/>
          <w:szCs w:val="26"/>
        </w:rPr>
      </w:pPr>
      <w:r w:rsidRPr="007723E9">
        <w:rPr>
          <w:sz w:val="26"/>
          <w:szCs w:val="26"/>
        </w:rPr>
        <w:t>A. SHAREM*, A.H. Fatima**, Hafiz Majdi Abdul Rashid**</w:t>
      </w:r>
    </w:p>
    <w:p w14:paraId="65430CB4" w14:textId="77777777" w:rsidR="00A808EB" w:rsidRPr="007723E9" w:rsidRDefault="00A808EB" w:rsidP="00A808EB">
      <w:pPr>
        <w:jc w:val="center"/>
        <w:rPr>
          <w:sz w:val="26"/>
          <w:szCs w:val="26"/>
        </w:rPr>
      </w:pPr>
    </w:p>
    <w:p w14:paraId="584B54EB" w14:textId="77777777" w:rsidR="00A808EB" w:rsidRPr="007723E9" w:rsidRDefault="00A808EB" w:rsidP="00A808EB">
      <w:pPr>
        <w:jc w:val="center"/>
        <w:rPr>
          <w:sz w:val="26"/>
          <w:szCs w:val="26"/>
        </w:rPr>
      </w:pPr>
      <w:r w:rsidRPr="007723E9">
        <w:rPr>
          <w:sz w:val="26"/>
          <w:szCs w:val="26"/>
        </w:rPr>
        <w:t>*Sana’a University, Department of Accounting, Yemen</w:t>
      </w:r>
    </w:p>
    <w:p w14:paraId="5D059B0E" w14:textId="77777777" w:rsidR="00A808EB" w:rsidRPr="007723E9" w:rsidRDefault="00A808EB" w:rsidP="00A808EB">
      <w:pPr>
        <w:jc w:val="center"/>
        <w:rPr>
          <w:sz w:val="26"/>
          <w:szCs w:val="26"/>
        </w:rPr>
      </w:pPr>
      <w:r w:rsidRPr="007723E9">
        <w:rPr>
          <w:sz w:val="26"/>
          <w:szCs w:val="26"/>
        </w:rPr>
        <w:t>**International Islamic University Malaysia, Department of Accounting, Malaysia</w:t>
      </w:r>
    </w:p>
    <w:p w14:paraId="3B1A4034" w14:textId="77777777" w:rsidR="00A808EB" w:rsidRPr="00CD4C46" w:rsidRDefault="00A808EB" w:rsidP="00A808EB">
      <w:pPr>
        <w:jc w:val="center"/>
        <w:rPr>
          <w:rFonts w:asciiTheme="majorBidi" w:hAnsiTheme="majorBidi" w:cstheme="majorBidi"/>
          <w:b/>
          <w:bCs/>
          <w:lang w:bidi="ar-YE"/>
        </w:rPr>
      </w:pPr>
    </w:p>
    <w:p w14:paraId="791DD5BE" w14:textId="77777777" w:rsidR="00A808EB" w:rsidRPr="007462D0" w:rsidRDefault="00A808EB" w:rsidP="00A808EB">
      <w:pPr>
        <w:jc w:val="both"/>
        <w:rPr>
          <w:rFonts w:asciiTheme="majorBidi" w:hAnsiTheme="majorBidi" w:cstheme="majorBidi"/>
          <w:b/>
          <w:bCs/>
          <w:color w:val="FF0000"/>
          <w:lang w:bidi="ar-YE"/>
        </w:rPr>
      </w:pPr>
    </w:p>
    <w:p w14:paraId="089DC579" w14:textId="77777777" w:rsidR="00A808EB" w:rsidRPr="007462D0" w:rsidRDefault="00A808EB" w:rsidP="00A808EB">
      <w:pPr>
        <w:jc w:val="center"/>
        <w:rPr>
          <w:rFonts w:asciiTheme="majorBidi" w:hAnsiTheme="majorBidi" w:cstheme="majorBidi"/>
          <w:b/>
          <w:bCs/>
          <w:sz w:val="28"/>
          <w:szCs w:val="28"/>
          <w:rtl/>
        </w:rPr>
      </w:pPr>
      <w:r w:rsidRPr="00DA2927">
        <w:rPr>
          <w:rFonts w:asciiTheme="majorBidi" w:hAnsiTheme="majorBidi" w:cstheme="majorBidi"/>
          <w:b/>
          <w:bCs/>
        </w:rPr>
        <w:t>ABSTRACT</w:t>
      </w:r>
    </w:p>
    <w:p w14:paraId="27AD78B8" w14:textId="77777777" w:rsidR="00A808EB" w:rsidRPr="007462D0" w:rsidRDefault="00A808EB" w:rsidP="00A808EB">
      <w:pPr>
        <w:jc w:val="both"/>
        <w:rPr>
          <w:rFonts w:eastAsia="Calibri"/>
        </w:rPr>
      </w:pPr>
      <w:r w:rsidRPr="00C019DB">
        <w:rPr>
          <w:rFonts w:asciiTheme="majorBidi" w:hAnsiTheme="majorBidi" w:cstheme="majorBidi"/>
        </w:rPr>
        <w:t>The main purpose of this paper</w:t>
      </w:r>
      <w:bookmarkStart w:id="0" w:name="_GoBack"/>
      <w:bookmarkEnd w:id="0"/>
      <w:r w:rsidRPr="00C019DB">
        <w:rPr>
          <w:rFonts w:asciiTheme="majorBidi" w:hAnsiTheme="majorBidi" w:cstheme="majorBidi"/>
        </w:rPr>
        <w:t xml:space="preserve"> is to study the association between intellectual capital efficiency (ICe) and firm performance of companies in the Technology and Telecommunications &amp; Media (TT&amp;M) sectors on the Malaysian main and ACE markets. </w:t>
      </w:r>
      <w:r w:rsidRPr="0006087A">
        <w:rPr>
          <w:rFonts w:asciiTheme="majorBidi" w:hAnsiTheme="majorBidi" w:cstheme="majorBidi"/>
        </w:rPr>
        <w:t>Data were collected from 37 companies’ annual reports for the year 2018. Value added intellectual coefficient</w:t>
      </w:r>
      <w:r w:rsidRPr="00C019DB">
        <w:rPr>
          <w:rFonts w:asciiTheme="majorBidi" w:hAnsiTheme="majorBidi" w:cstheme="majorBidi"/>
        </w:rPr>
        <w:t xml:space="preserve"> (VAIC) and its components were measured using Pulic’s model, whereas firm performance focuses on profitability, proxied by return on asset (ROA) and return on equity (ROE). </w:t>
      </w:r>
      <w:r w:rsidRPr="00C019DB">
        <w:rPr>
          <w:rFonts w:eastAsia="Calibri"/>
        </w:rPr>
        <w:t>VAIC, human capital efficiency (HCe) and Capital employed efficiency (CEe) are associated with significantly higher ROA and ROE. However, Structural capital efficiency (SCe) is not significant with either ROA or ROE. These findings have useful implications to the TT&amp;M companies as their managers may improve on the efficient usage of the relevant capitals in order to gain better firm performance. Moreover, the findings of this study could also be beneficial to policy makers as the financial success of TT&amp;M companies would be in line with national economic policies.</w:t>
      </w:r>
      <w:r>
        <w:rPr>
          <w:rFonts w:eastAsia="Calibri"/>
        </w:rPr>
        <w:t xml:space="preserve">    </w:t>
      </w:r>
    </w:p>
    <w:p w14:paraId="44FCE271" w14:textId="77777777" w:rsidR="00A808EB" w:rsidRPr="007462D0" w:rsidRDefault="00A808EB" w:rsidP="00A808EB">
      <w:pPr>
        <w:jc w:val="both"/>
        <w:rPr>
          <w:rFonts w:asciiTheme="majorBidi" w:hAnsiTheme="majorBidi" w:cstheme="majorBidi"/>
          <w:b/>
          <w:bCs/>
          <w:i/>
          <w:iCs/>
        </w:rPr>
      </w:pPr>
    </w:p>
    <w:p w14:paraId="3487DA59" w14:textId="77777777" w:rsidR="00A808EB" w:rsidRPr="007462D0" w:rsidRDefault="00A808EB" w:rsidP="00A808EB">
      <w:pPr>
        <w:jc w:val="both"/>
        <w:rPr>
          <w:rFonts w:asciiTheme="majorBidi" w:hAnsiTheme="majorBidi" w:cstheme="majorBidi"/>
          <w:i/>
          <w:iCs/>
        </w:rPr>
      </w:pPr>
      <w:r w:rsidRPr="007462D0">
        <w:rPr>
          <w:rFonts w:asciiTheme="majorBidi" w:hAnsiTheme="majorBidi" w:cstheme="majorBidi"/>
          <w:b/>
          <w:bCs/>
          <w:i/>
          <w:iCs/>
        </w:rPr>
        <w:t>Keywords</w:t>
      </w:r>
      <w:r w:rsidRPr="007462D0">
        <w:rPr>
          <w:rFonts w:asciiTheme="majorBidi" w:hAnsiTheme="majorBidi" w:cstheme="majorBidi"/>
          <w:i/>
          <w:iCs/>
        </w:rPr>
        <w:t>:</w:t>
      </w:r>
      <w:r w:rsidRPr="007462D0">
        <w:rPr>
          <w:rFonts w:asciiTheme="majorBidi" w:hAnsiTheme="majorBidi" w:cstheme="majorBidi"/>
        </w:rPr>
        <w:t xml:space="preserve"> </w:t>
      </w:r>
      <w:r w:rsidRPr="007462D0">
        <w:rPr>
          <w:rFonts w:asciiTheme="majorBidi" w:hAnsiTheme="majorBidi" w:cstheme="majorBidi"/>
          <w:i/>
          <w:iCs/>
        </w:rPr>
        <w:t>Intellectual capital efficiency, VAIC, Value added, Firm Performance, ACE market, Technology and Telecommunications &amp; Media.</w:t>
      </w:r>
    </w:p>
    <w:p w14:paraId="5AD0653E" w14:textId="77777777" w:rsidR="00A808EB" w:rsidRDefault="00A808EB" w:rsidP="00A808EB">
      <w:pPr>
        <w:spacing w:after="160"/>
        <w:rPr>
          <w:b/>
          <w:highlight w:val="cyan"/>
        </w:rPr>
      </w:pPr>
    </w:p>
    <w:p w14:paraId="07C8DE5C" w14:textId="77777777" w:rsidR="00A808EB" w:rsidRPr="00C019DB" w:rsidRDefault="00A808EB" w:rsidP="00A808EB">
      <w:pPr>
        <w:spacing w:before="240"/>
        <w:jc w:val="center"/>
        <w:rPr>
          <w:b/>
        </w:rPr>
      </w:pPr>
      <w:r w:rsidRPr="00C019DB">
        <w:rPr>
          <w:b/>
        </w:rPr>
        <w:t>INTRODUCTION</w:t>
      </w:r>
    </w:p>
    <w:p w14:paraId="400712F0" w14:textId="77777777" w:rsidR="00A808EB" w:rsidRPr="00C019DB" w:rsidRDefault="00A808EB" w:rsidP="00A808EB">
      <w:pPr>
        <w:jc w:val="both"/>
        <w:rPr>
          <w:rFonts w:asciiTheme="majorBidi" w:hAnsiTheme="majorBidi" w:cstheme="majorBidi"/>
          <w:color w:val="FF0000"/>
          <w:rtl/>
          <w:lang w:bidi="ar-YE"/>
        </w:rPr>
      </w:pPr>
      <w:r w:rsidRPr="00C019DB">
        <w:rPr>
          <w:rFonts w:asciiTheme="majorBidi" w:hAnsiTheme="majorBidi" w:cstheme="majorBidi"/>
          <w:color w:val="FF0000"/>
          <w:rtl/>
          <w:lang w:bidi="ar-YE"/>
        </w:rPr>
        <w:t xml:space="preserve"> </w:t>
      </w:r>
    </w:p>
    <w:p w14:paraId="6A6E5EC5" w14:textId="77777777" w:rsidR="00A808EB" w:rsidRPr="00C019DB" w:rsidRDefault="00A808EB" w:rsidP="00A808EB">
      <w:pPr>
        <w:spacing w:before="240"/>
        <w:jc w:val="both"/>
        <w:rPr>
          <w:rFonts w:asciiTheme="majorBidi" w:hAnsiTheme="majorBidi" w:cstheme="majorBidi"/>
        </w:rPr>
      </w:pPr>
      <w:r w:rsidRPr="00C019DB">
        <w:rPr>
          <w:rFonts w:asciiTheme="majorBidi" w:hAnsiTheme="majorBidi" w:cstheme="majorBidi"/>
        </w:rPr>
        <w:t xml:space="preserve">Technology and Telecommunications &amp; Media (TT&amp;M) companies are considered to be high-technology and knowledge intensive firms. Thus logically, intangibles, particularly intellectual capital (IC) are deemed to play a critical role in these firms’ performance. As the business environment is dynamic, highly volatile and competitive, especially in the TT&amp;M sectors, the companies in these </w:t>
      </w:r>
      <w:r w:rsidRPr="0006087A">
        <w:rPr>
          <w:rFonts w:asciiTheme="majorBidi" w:hAnsiTheme="majorBidi" w:cstheme="majorBidi"/>
        </w:rPr>
        <w:t>sectors should be optimizing their IC efficiency. The efficient usage of IC could enhance performance of these TT&amp;M companies and enable them to sustain their businesses.</w:t>
      </w:r>
      <w:r w:rsidRPr="00C019DB">
        <w:rPr>
          <w:rFonts w:asciiTheme="majorBidi" w:hAnsiTheme="majorBidi" w:cstheme="majorBidi"/>
        </w:rPr>
        <w:t xml:space="preserve">  </w:t>
      </w:r>
    </w:p>
    <w:p w14:paraId="2736A6C0" w14:textId="77777777" w:rsidR="00A808EB" w:rsidRPr="00C019DB" w:rsidRDefault="00A808EB" w:rsidP="00A808EB">
      <w:pPr>
        <w:spacing w:before="240" w:after="240"/>
        <w:jc w:val="both"/>
        <w:rPr>
          <w:rFonts w:asciiTheme="majorBidi" w:hAnsiTheme="majorBidi" w:cstheme="majorBidi"/>
        </w:rPr>
      </w:pPr>
      <w:r w:rsidRPr="00C019DB">
        <w:rPr>
          <w:rFonts w:asciiTheme="majorBidi" w:hAnsiTheme="majorBidi" w:cstheme="majorBidi"/>
        </w:rPr>
        <w:tab/>
        <w:t xml:space="preserve">However, as these sectors are volatile (Hunter, Kobelsky, Richardson, 2003) an investigation using recent TT&amp;M companies’ data is needed to determine the extent of association between IC efficiency and firm performance of these companies. This is because, although there are a growing number of studies on IC efficiency in Malaysia, the studies tend to focus on companies on the </w:t>
      </w:r>
      <w:r w:rsidRPr="0006087A">
        <w:rPr>
          <w:rFonts w:asciiTheme="majorBidi" w:hAnsiTheme="majorBidi" w:cstheme="majorBidi"/>
        </w:rPr>
        <w:t>main market of Bursa Malaysia. Hence, there</w:t>
      </w:r>
      <w:r w:rsidRPr="00C019DB">
        <w:rPr>
          <w:rFonts w:asciiTheme="majorBidi" w:hAnsiTheme="majorBidi" w:cstheme="majorBidi"/>
        </w:rPr>
        <w:t xml:space="preserve"> are only a few studies that include the ACE market (</w:t>
      </w:r>
      <w:r w:rsidRPr="00C019DB">
        <w:rPr>
          <w:shd w:val="clear" w:color="auto" w:fill="FFFFFF"/>
        </w:rPr>
        <w:t xml:space="preserve">Noradiva, Parastou &amp; Azlina, 2016; Rahim, Atan &amp; </w:t>
      </w:r>
      <w:r w:rsidRPr="00C019DB">
        <w:t>Kamaluddin, 2017</w:t>
      </w:r>
      <w:r w:rsidRPr="00C019DB">
        <w:rPr>
          <w:shd w:val="clear" w:color="auto" w:fill="FFFFFF"/>
        </w:rPr>
        <w:t xml:space="preserve">) </w:t>
      </w:r>
      <w:r w:rsidRPr="00C019DB">
        <w:rPr>
          <w:rFonts w:asciiTheme="majorBidi" w:hAnsiTheme="majorBidi" w:cstheme="majorBidi"/>
        </w:rPr>
        <w:t xml:space="preserve">but their data is now relatively outdated. Furthermore, this study specifically tests the companies in the TT&amp;M sectors.  </w:t>
      </w:r>
    </w:p>
    <w:p w14:paraId="76A7DEE6" w14:textId="77777777" w:rsidR="00A808EB" w:rsidRPr="00C019DB" w:rsidRDefault="00A808EB" w:rsidP="00A808EB">
      <w:pPr>
        <w:spacing w:after="240"/>
        <w:jc w:val="both"/>
        <w:rPr>
          <w:rFonts w:asciiTheme="majorBidi" w:hAnsiTheme="majorBidi" w:cstheme="majorBidi"/>
        </w:rPr>
      </w:pPr>
      <w:r w:rsidRPr="00C019DB">
        <w:rPr>
          <w:rFonts w:asciiTheme="majorBidi" w:hAnsiTheme="majorBidi" w:cstheme="majorBidi"/>
        </w:rPr>
        <w:lastRenderedPageBreak/>
        <w:tab/>
        <w:t>Additionally, Malaysia launched its National Policy on Industry 4.0, i.e. Industry4WRD on 31 October 2018. This policy intends to promote digital transformation in the manufacturing and related service sectors (Ministry of International Trade Industry, 2020). Generally, the TT&amp;M sectors are the support sectors for these other sectors; hence the policy developments in Malaysia could result in the changes in the dynamics between IC efficiency and performance of companies in the TT&amp;M sectors.</w:t>
      </w:r>
    </w:p>
    <w:p w14:paraId="211F24E1" w14:textId="77777777" w:rsidR="00A808EB" w:rsidRPr="0006087A" w:rsidRDefault="00A808EB" w:rsidP="00A808EB">
      <w:pPr>
        <w:spacing w:before="240"/>
        <w:jc w:val="both"/>
        <w:rPr>
          <w:rFonts w:asciiTheme="majorBidi" w:hAnsiTheme="majorBidi" w:cstheme="majorBidi"/>
        </w:rPr>
      </w:pPr>
      <w:r w:rsidRPr="00C019DB">
        <w:rPr>
          <w:rFonts w:asciiTheme="majorBidi" w:hAnsiTheme="majorBidi" w:cstheme="majorBidi"/>
        </w:rPr>
        <w:tab/>
        <w:t xml:space="preserve">Therefore, the purpose of this study is to investigate the effect of IC efficiency and its components on firm performance of companies in the TT&amp;M sectors in Malaysia. IC efficiency is proxied by Pulic’s Value Added Intellectual </w:t>
      </w:r>
      <w:r w:rsidRPr="0006087A">
        <w:rPr>
          <w:rFonts w:asciiTheme="majorBidi" w:hAnsiTheme="majorBidi" w:cstheme="majorBidi"/>
        </w:rPr>
        <w:t>Coefficient</w:t>
      </w:r>
      <w:r w:rsidRPr="00C019DB">
        <w:rPr>
          <w:rFonts w:asciiTheme="majorBidi" w:hAnsiTheme="majorBidi" w:cstheme="majorBidi"/>
        </w:rPr>
        <w:t xml:space="preserve"> (VAIC) measure. The sample of this study comprises 37 companies in the TT&amp;M sectors, which are listed on the main and ACE markets. The data </w:t>
      </w:r>
      <w:r w:rsidRPr="0006087A">
        <w:rPr>
          <w:rFonts w:asciiTheme="majorBidi" w:hAnsiTheme="majorBidi" w:cstheme="majorBidi"/>
        </w:rPr>
        <w:t>were collected from the annual report for the year 2018 of these companies.</w:t>
      </w:r>
    </w:p>
    <w:p w14:paraId="42D68103" w14:textId="77777777" w:rsidR="00A808EB" w:rsidRPr="00C019DB" w:rsidRDefault="00A808EB" w:rsidP="00A808EB">
      <w:pPr>
        <w:spacing w:before="240" w:after="240"/>
        <w:jc w:val="both"/>
        <w:rPr>
          <w:rFonts w:asciiTheme="majorBidi" w:hAnsiTheme="majorBidi" w:cstheme="majorBidi"/>
        </w:rPr>
      </w:pPr>
      <w:r w:rsidRPr="0006087A">
        <w:rPr>
          <w:rFonts w:asciiTheme="majorBidi" w:hAnsiTheme="majorBidi" w:cstheme="majorBidi"/>
        </w:rPr>
        <w:tab/>
        <w:t>The findings of</w:t>
      </w:r>
      <w:r w:rsidRPr="00C019DB">
        <w:rPr>
          <w:rFonts w:asciiTheme="majorBidi" w:hAnsiTheme="majorBidi" w:cstheme="majorBidi"/>
        </w:rPr>
        <w:t xml:space="preserve"> the study would be useful, firstly, to the TT&amp;M companies as they would want to find out the extent IC efficiency can be used to generate firm performance, in this current volatile environment of their sectors. Moreover, the managers from these companies may benefit from the findings of which IC efficiency component is primary in stimulating firm performance in the TT&amp;M sectors.</w:t>
      </w:r>
    </w:p>
    <w:p w14:paraId="3A202F8D" w14:textId="77777777" w:rsidR="00A808EB" w:rsidRPr="00C019DB" w:rsidRDefault="00A808EB" w:rsidP="00A808EB">
      <w:pPr>
        <w:spacing w:after="240"/>
        <w:jc w:val="both"/>
        <w:rPr>
          <w:rFonts w:asciiTheme="majorBidi" w:hAnsiTheme="majorBidi" w:cstheme="majorBidi"/>
        </w:rPr>
      </w:pPr>
      <w:r w:rsidRPr="00C019DB">
        <w:rPr>
          <w:rFonts w:asciiTheme="majorBidi" w:hAnsiTheme="majorBidi" w:cstheme="majorBidi"/>
        </w:rPr>
        <w:tab/>
        <w:t xml:space="preserve">Moreover, as the government of Malaysia is promoting Industry4WRD, policy makers may be interested to know the performance of companies in the TT&amp;M sectors, as these companies are capable of supporting Malaysia’s national policy. More importantly, the government may want to find </w:t>
      </w:r>
      <w:r w:rsidRPr="0006087A">
        <w:rPr>
          <w:rFonts w:asciiTheme="majorBidi" w:hAnsiTheme="majorBidi" w:cstheme="majorBidi"/>
        </w:rPr>
        <w:t>out key factors that enhance</w:t>
      </w:r>
      <w:r w:rsidRPr="00C019DB">
        <w:rPr>
          <w:rFonts w:asciiTheme="majorBidi" w:hAnsiTheme="majorBidi" w:cstheme="majorBidi"/>
        </w:rPr>
        <w:t xml:space="preserve"> performance of companies in the TT&amp;M sectors, in order to ensure congruence with their policy.</w:t>
      </w:r>
    </w:p>
    <w:p w14:paraId="7FCCF76E" w14:textId="77777777" w:rsidR="00A808EB" w:rsidRPr="00C019DB" w:rsidRDefault="00A808EB" w:rsidP="00A808EB">
      <w:pPr>
        <w:spacing w:after="240"/>
        <w:jc w:val="both"/>
        <w:rPr>
          <w:rFonts w:asciiTheme="majorBidi" w:hAnsiTheme="majorBidi" w:cstheme="majorBidi"/>
        </w:rPr>
      </w:pPr>
      <w:r w:rsidRPr="00C019DB">
        <w:rPr>
          <w:rFonts w:asciiTheme="majorBidi" w:hAnsiTheme="majorBidi" w:cstheme="majorBidi"/>
        </w:rPr>
        <w:tab/>
        <w:t xml:space="preserve">This study should also be of interest to researchers, particularly in Malaysia as it extends the IC efficiency literature specifically in the TT&amp;M sectors. As mentioned above, the study also includes companies in these sectors from the ACE market. Thus, the findings of this study can be used to deduce if there is any significant difference between the results of the TT&amp;M companies on the main board and ACE market. Furthermore, the findings of this study can be compared against the findings of relevant prior Malaysian studies as well as used as a reference by future studies to enable a better understanding of IC efficiency, particularly in technology intensive sectors, in Malaysia. </w:t>
      </w:r>
    </w:p>
    <w:p w14:paraId="753D348A" w14:textId="77777777" w:rsidR="00A808EB" w:rsidRPr="007462D0" w:rsidRDefault="00A808EB" w:rsidP="00A808EB">
      <w:pPr>
        <w:spacing w:after="240"/>
        <w:ind w:firstLine="720"/>
        <w:jc w:val="both"/>
        <w:rPr>
          <w:rFonts w:asciiTheme="majorBidi" w:hAnsiTheme="majorBidi" w:cstheme="majorBidi"/>
          <w:rtl/>
        </w:rPr>
      </w:pPr>
      <w:r w:rsidRPr="00C019DB">
        <w:rPr>
          <w:rFonts w:asciiTheme="majorBidi" w:hAnsiTheme="majorBidi" w:cstheme="majorBidi"/>
        </w:rPr>
        <w:t>The following sections of this study are organised as follows: The next section reviews prior literature. The third section explains the research method and data collection. The fourth section presents and analyses the findings of study. The last section concludes the study with a discussion on implications and limitations of this study, as well as suggestions for future research.</w:t>
      </w:r>
      <w:r w:rsidRPr="007462D0">
        <w:rPr>
          <w:rFonts w:asciiTheme="majorBidi" w:hAnsiTheme="majorBidi" w:cstheme="majorBidi"/>
        </w:rPr>
        <w:t xml:space="preserve"> </w:t>
      </w:r>
    </w:p>
    <w:p w14:paraId="48157C75" w14:textId="77777777" w:rsidR="00A808EB" w:rsidRPr="007462D0" w:rsidRDefault="00A808EB" w:rsidP="00A808EB">
      <w:pPr>
        <w:jc w:val="both"/>
        <w:rPr>
          <w:rFonts w:asciiTheme="majorBidi" w:hAnsiTheme="majorBidi" w:cstheme="majorBidi"/>
          <w:color w:val="FF0000"/>
        </w:rPr>
      </w:pPr>
    </w:p>
    <w:p w14:paraId="7B5464C0" w14:textId="77777777" w:rsidR="00A808EB" w:rsidRPr="00D51718" w:rsidRDefault="00A808EB" w:rsidP="00A808EB">
      <w:pPr>
        <w:jc w:val="center"/>
        <w:rPr>
          <w:rFonts w:asciiTheme="majorBidi" w:hAnsiTheme="majorBidi" w:cstheme="majorBidi"/>
          <w:b/>
          <w:bCs/>
          <w:color w:val="FF0000"/>
          <w:lang w:bidi="ar-YE"/>
        </w:rPr>
      </w:pPr>
      <w:r w:rsidRPr="00D51718">
        <w:rPr>
          <w:b/>
        </w:rPr>
        <w:t>LITERATURE REVIEW</w:t>
      </w:r>
    </w:p>
    <w:p w14:paraId="6FAA0831" w14:textId="77777777" w:rsidR="00A808EB" w:rsidRPr="00D51718" w:rsidRDefault="00A808EB" w:rsidP="00A808EB">
      <w:pPr>
        <w:pStyle w:val="ListParagraph"/>
        <w:jc w:val="center"/>
        <w:rPr>
          <w:rFonts w:asciiTheme="majorBidi" w:hAnsiTheme="majorBidi" w:cstheme="majorBidi"/>
          <w:b/>
          <w:bCs/>
          <w:color w:val="FF0000"/>
          <w:szCs w:val="24"/>
          <w:lang w:bidi="ar-YE"/>
        </w:rPr>
      </w:pPr>
    </w:p>
    <w:p w14:paraId="6909361C" w14:textId="77777777" w:rsidR="00A808EB" w:rsidRPr="00D51718" w:rsidRDefault="00A808EB" w:rsidP="00A808EB">
      <w:pPr>
        <w:spacing w:after="240"/>
        <w:jc w:val="both"/>
      </w:pPr>
      <w:r w:rsidRPr="00D51718">
        <w:rPr>
          <w:rFonts w:eastAsia="Calibri"/>
        </w:rPr>
        <w:t>The term “intellectual capital” was originally coined by John Kenneth Galbraith in 1969 (Edvinsson and Sullivan 19</w:t>
      </w:r>
      <w:r>
        <w:rPr>
          <w:rFonts w:eastAsia="Calibri"/>
        </w:rPr>
        <w:t>96; Bontis 1998</w:t>
      </w:r>
      <w:r w:rsidRPr="00D51718">
        <w:rPr>
          <w:rFonts w:eastAsia="Calibri"/>
        </w:rPr>
        <w:t xml:space="preserve">). In broad terms, IC is the gap between companies’ market and book values (Stewart, 1997), where the former is greater than the latter due to IC (Radjenovic &amp; Krstic, 2017). Although there is no universally accepted definition of IC, nor the classification of its components </w:t>
      </w:r>
      <w:r w:rsidRPr="00D51718">
        <w:t xml:space="preserve">(Ozkan, Cakan &amp; Kayacan 2016; Soetanto &amp; Liem 2019), </w:t>
      </w:r>
      <w:r w:rsidRPr="00D51718">
        <w:lastRenderedPageBreak/>
        <w:t xml:space="preserve">there is general agreement that IC </w:t>
      </w:r>
      <w:r w:rsidRPr="00D51718">
        <w:rPr>
          <w:rFonts w:eastAsia="Calibri"/>
        </w:rPr>
        <w:t>adds value to the f</w:t>
      </w:r>
      <w:r>
        <w:rPr>
          <w:rFonts w:eastAsia="Calibri"/>
        </w:rPr>
        <w:t>irm (Sveiby, 1997</w:t>
      </w:r>
      <w:r w:rsidRPr="00D51718">
        <w:rPr>
          <w:rFonts w:eastAsia="Calibri"/>
        </w:rPr>
        <w:t>; Vi</w:t>
      </w:r>
      <w:r>
        <w:rPr>
          <w:rFonts w:eastAsia="Calibri"/>
        </w:rPr>
        <w:t>shnu &amp; Gupta, 2014; Chiucchi &amp; D</w:t>
      </w:r>
      <w:r w:rsidRPr="00D51718">
        <w:rPr>
          <w:rFonts w:eastAsia="Calibri"/>
        </w:rPr>
        <w:t>umay, 2015; Sangiorgi &amp; Sibioni 2017).</w:t>
      </w:r>
    </w:p>
    <w:p w14:paraId="216DC92F" w14:textId="77777777" w:rsidR="00A808EB" w:rsidRPr="007462D0" w:rsidRDefault="00A808EB" w:rsidP="00A808EB">
      <w:pPr>
        <w:spacing w:after="240"/>
        <w:jc w:val="both"/>
        <w:rPr>
          <w:lang w:bidi="ar-YE"/>
        </w:rPr>
      </w:pPr>
      <w:r w:rsidRPr="00D51718">
        <w:rPr>
          <w:rFonts w:eastAsia="Calibri"/>
        </w:rPr>
        <w:tab/>
        <w:t>Due to IC influencing firm value, numerous studies over the last two decades, have attempted to measure IC; even though it is complicated to measure (</w:t>
      </w:r>
      <w:r>
        <w:t>Kehelwalatenna, 2016</w:t>
      </w:r>
      <w:r w:rsidRPr="00D51718">
        <w:t>; Forte, Tucker, Matonti &amp; Nicolo, 2017; Ting, Ren, Chen &amp; Kweh, 2020).</w:t>
      </w:r>
      <w:r w:rsidRPr="00D51718">
        <w:rPr>
          <w:rFonts w:eastAsia="Calibri"/>
        </w:rPr>
        <w:t xml:space="preserve"> Nevertheless, </w:t>
      </w:r>
      <w:r w:rsidRPr="00D51718">
        <w:t xml:space="preserve">one of the common approaches to measuring IC is by considering its efficiency, by using Pulic’s (1998; 2000; 2004) value added intellectual coefficient (VAIC) (Ting, Ren, Chen &amp; Kweh, 2020). A </w:t>
      </w:r>
      <w:r w:rsidRPr="00D51718">
        <w:rPr>
          <w:lang w:bidi="ar-YE"/>
        </w:rPr>
        <w:t xml:space="preserve">multitude of studies have used Pulic’s VAIC to measure IC efficiency, including in Malaysia (Goh, 2005; Gan and Saleh, 2008; </w:t>
      </w:r>
      <w:r w:rsidRPr="00D51718">
        <w:t>Ting &amp; Lean, 2009</w:t>
      </w:r>
      <w:r w:rsidRPr="00D51718">
        <w:rPr>
          <w:lang w:bidi="ar-YE"/>
        </w:rPr>
        <w:t xml:space="preserve">; </w:t>
      </w:r>
      <w:r w:rsidRPr="00D51718">
        <w:t>Ousama and Fatima, 2015</w:t>
      </w:r>
      <w:r w:rsidRPr="00D51718">
        <w:rPr>
          <w:lang w:bidi="ar-YE"/>
        </w:rPr>
        <w:t>). Nevertheless, the following paragraphs will only review the most relevant prior literature in relation to the context of this study, i.e. IC efficiency and firm performance studies in Malaysia, specifically high-technology companies or ACE market (previously MESDAQ market).</w:t>
      </w:r>
    </w:p>
    <w:p w14:paraId="0BCBD0F7" w14:textId="77777777" w:rsidR="00A808EB" w:rsidRPr="00D51718" w:rsidRDefault="00A808EB" w:rsidP="00A808EB">
      <w:pPr>
        <w:spacing w:after="240"/>
        <w:ind w:firstLine="567"/>
        <w:jc w:val="both"/>
        <w:rPr>
          <w:lang w:bidi="ar-YE"/>
        </w:rPr>
      </w:pPr>
      <w:r w:rsidRPr="00D51718">
        <w:rPr>
          <w:lang w:bidi="ar-YE"/>
        </w:rPr>
        <w:t xml:space="preserve">Gan and Saleh (2008) investigated the association between VAIC and firm performance using 89 technology intensive companies on the MESDAQ market for the years 2004 and 2005. They found VAIC to be positively significantly associated with profitability and productivity, measured by return on asset (ROA) and asset turnover (ATO), respectively. However, VAIC was not significantly associated with firm market valuation. Further analysis indicated that human capital efficiency (HCe) and capital employed efficiency (CEe) had a significant positive association with the three dependent variables (DVs) but structural capital efficiency (SCe) did not. </w:t>
      </w:r>
    </w:p>
    <w:p w14:paraId="251C52BF" w14:textId="77777777" w:rsidR="00A808EB" w:rsidRPr="00D51718" w:rsidRDefault="00A808EB" w:rsidP="00A808EB">
      <w:pPr>
        <w:spacing w:after="240"/>
        <w:ind w:firstLine="567"/>
        <w:jc w:val="both"/>
        <w:rPr>
          <w:rFonts w:eastAsia="Calibri"/>
        </w:rPr>
      </w:pPr>
      <w:r w:rsidRPr="00D51718">
        <w:rPr>
          <w:lang w:bidi="ar-YE"/>
        </w:rPr>
        <w:t xml:space="preserve">Later, </w:t>
      </w:r>
      <w:r w:rsidRPr="00D51718">
        <w:rPr>
          <w:rFonts w:eastAsia="Calibri"/>
          <w:lang w:bidi="ar-YE"/>
        </w:rPr>
        <w:t>Nimtrakoon (2015) conducted a similar study to Gan and Saleh (2008), but using 220 technology firms listed on five Asian stock exchanges in the year 2011. The five Asian countries are Malaysia, Indonesia, Philippines, Thailand and Singapore.</w:t>
      </w:r>
      <w:r w:rsidRPr="00D51718">
        <w:rPr>
          <w:rFonts w:eastAsia="Calibri"/>
        </w:rPr>
        <w:t xml:space="preserve"> Another cross-country study was by </w:t>
      </w:r>
      <w:r w:rsidRPr="00D51718">
        <w:rPr>
          <w:shd w:val="clear" w:color="auto" w:fill="FFFFFF"/>
        </w:rPr>
        <w:t>Pratama, Innayah &amp; Darmawan (2019) who also tested high-technology companies, but only from Malaysia and Indonesia (619 observations).</w:t>
      </w:r>
      <w:r w:rsidRPr="00D51718">
        <w:rPr>
          <w:rFonts w:eastAsia="Calibri"/>
        </w:rPr>
        <w:t xml:space="preserve"> Nimtrakoon’s (2015) tests of the Malaysian data (95 companies) were consistent with the results of Gan and Saleh (2008), where VAIC, HCe and CEe were significantly positively associated with the profitability measures (ROA; ROE) but SCe was not. As for Pratama et al.’s (2019) results of the Malaysian data, VAIC was found to be significantly positively associated with ROA, hence congruent with Gan and Saleh’s (2008) as well as Nimtrakoon’s (2015) findings. </w:t>
      </w:r>
    </w:p>
    <w:p w14:paraId="4A9F3A02" w14:textId="77777777" w:rsidR="00A808EB" w:rsidRPr="00D51718" w:rsidRDefault="00A808EB" w:rsidP="00A808EB">
      <w:pPr>
        <w:spacing w:after="240"/>
        <w:jc w:val="both"/>
        <w:rPr>
          <w:lang w:bidi="ar-YE"/>
        </w:rPr>
      </w:pPr>
      <w:r w:rsidRPr="00D51718">
        <w:rPr>
          <w:lang w:bidi="ar-YE"/>
        </w:rPr>
        <w:tab/>
      </w:r>
      <w:r w:rsidRPr="00D51718">
        <w:t>Rahim, Atan &amp; Kamaluddin (2017) also conducted a study on all technology firms listed on Bursa Malaysia’s main and ACE markets in the year 2009. However, Rahim et al. (2017) only focused on the effects of HCe on firm performance of these technology companies. Based on 19 and 36 companies on the main and ACE markets, respectively, HCe was found to be significantly positively correlated with ROA. Thus, Rahim et al.’s (2017) findings are also in line with Gan and Saleh’s (2008) results on HCe.</w:t>
      </w:r>
    </w:p>
    <w:p w14:paraId="598149A6" w14:textId="77777777" w:rsidR="00A808EB" w:rsidRPr="00D51718" w:rsidRDefault="00A808EB" w:rsidP="00A808EB">
      <w:pPr>
        <w:spacing w:after="240"/>
        <w:jc w:val="both"/>
        <w:rPr>
          <w:shd w:val="clear" w:color="auto" w:fill="FFFFFF"/>
        </w:rPr>
      </w:pPr>
      <w:r w:rsidRPr="00D51718">
        <w:rPr>
          <w:rFonts w:eastAsia="Calibri"/>
        </w:rPr>
        <w:tab/>
      </w:r>
      <w:r w:rsidRPr="00D51718">
        <w:rPr>
          <w:shd w:val="clear" w:color="auto" w:fill="FFFFFF"/>
        </w:rPr>
        <w:t>Noradiva, Parastou &amp; Azlina (2016) used panel data analysis to study 46 companies listed on the ACE market of Bursa Malaysia for the years 2009 until 2012 (184 firm-years). However, unlike previous studies, the purpose of Noradiva et al.’s (2016) study was to examine the effect of managerial ownership on the relationship between intellectual capital performance and firm value. Similar to Gan and Saleh (2008), Noradiva et al. (2016) found a significant positive association between VAIC and firm performance, but there was a non-significant non-linear effect of managerial ownership on the association between these two variables.</w:t>
      </w:r>
    </w:p>
    <w:p w14:paraId="4FF346DC" w14:textId="77777777" w:rsidR="00A808EB" w:rsidRPr="00D51718" w:rsidRDefault="00A808EB" w:rsidP="00A808EB">
      <w:pPr>
        <w:spacing w:after="240"/>
        <w:ind w:firstLine="567"/>
        <w:jc w:val="both"/>
        <w:rPr>
          <w:rFonts w:eastAsia="Calibri"/>
        </w:rPr>
      </w:pPr>
      <w:r w:rsidRPr="00D51718">
        <w:rPr>
          <w:lang w:bidi="ar-YE"/>
        </w:rPr>
        <w:lastRenderedPageBreak/>
        <w:t xml:space="preserve">In contrast to the studies above, Kweh, Chan and Ting (2013) used </w:t>
      </w:r>
      <w:r w:rsidRPr="00D51718">
        <w:rPr>
          <w:rFonts w:eastAsia="Calibri"/>
        </w:rPr>
        <w:t xml:space="preserve">data envelopment analysis (DEA) to test the ability of 25 public-listed software companies to transform IC efficiency (ICe) into firm value. The </w:t>
      </w:r>
      <w:r w:rsidRPr="00D51718">
        <w:rPr>
          <w:lang w:bidi="ar-YE"/>
        </w:rPr>
        <w:t xml:space="preserve">VAIC components were the input variables, whereas Tobin’s Q and return on equity (ROE) were the output variables in the DEA. </w:t>
      </w:r>
      <w:r w:rsidRPr="00D51718">
        <w:rPr>
          <w:rFonts w:eastAsia="Calibri"/>
        </w:rPr>
        <w:t>Data for the year 2010 were collected from these software companies, which were on the main and ACE markets of Bursa Malaysia. Kweh et al’s (2013) findings reveal that the majority (80%) of the software companies are inefficient in transforming IC into corporate values; however, the main market companies seem to be less efficient than the ACE market companies.</w:t>
      </w:r>
    </w:p>
    <w:p w14:paraId="42F252CB" w14:textId="77777777" w:rsidR="00A808EB" w:rsidRDefault="00A808EB" w:rsidP="00A808EB">
      <w:pPr>
        <w:spacing w:after="240"/>
        <w:ind w:firstLine="567"/>
        <w:jc w:val="both"/>
        <w:rPr>
          <w:rFonts w:eastAsia="Calibri"/>
        </w:rPr>
      </w:pPr>
      <w:r w:rsidRPr="00D51718">
        <w:rPr>
          <w:rFonts w:eastAsia="Calibri"/>
        </w:rPr>
        <w:t>The review of the relevant Malaysian studies above reveals that the findings are generally consistent, where VAIC, HCe and CEe are determinants of firm performance, particularly ROA. It also indicates that there is limited literature on the ACE market. Moreover, the above studies conduct their research on firms listed on the ACE market or technology companies, in general. Therefore, prior literature in Malaysia has not studied the ICe and firm performance of companies in the TT&amp;M sectors specifically.</w:t>
      </w:r>
      <w:r>
        <w:rPr>
          <w:rFonts w:eastAsia="Calibri"/>
        </w:rPr>
        <w:t xml:space="preserve">   </w:t>
      </w:r>
    </w:p>
    <w:p w14:paraId="655F0CA9" w14:textId="77777777" w:rsidR="00A808EB" w:rsidRPr="00914E4D" w:rsidRDefault="00A808EB" w:rsidP="00A808EB">
      <w:pPr>
        <w:ind w:firstLine="567"/>
        <w:jc w:val="both"/>
        <w:rPr>
          <w:shd w:val="clear" w:color="auto" w:fill="FFFFFF"/>
        </w:rPr>
      </w:pPr>
    </w:p>
    <w:p w14:paraId="0A75A436" w14:textId="77777777" w:rsidR="00A808EB" w:rsidRPr="007462D0" w:rsidRDefault="00A808EB" w:rsidP="00A808EB">
      <w:pPr>
        <w:pStyle w:val="Heading2"/>
        <w:jc w:val="center"/>
        <w:rPr>
          <w:rFonts w:eastAsia="Times New Roman"/>
          <w:rtl/>
        </w:rPr>
      </w:pPr>
      <w:r>
        <w:rPr>
          <w:rFonts w:eastAsia="Times New Roman"/>
        </w:rPr>
        <w:t>RESEARCH METHOD</w:t>
      </w:r>
    </w:p>
    <w:p w14:paraId="5E2965E9" w14:textId="77777777" w:rsidR="00A808EB" w:rsidRPr="00D51718" w:rsidRDefault="00A808EB" w:rsidP="00A808EB">
      <w:pPr>
        <w:spacing w:after="240"/>
        <w:ind w:firstLine="567"/>
        <w:jc w:val="both"/>
        <w:rPr>
          <w:rFonts w:eastAsia="Calibri"/>
        </w:rPr>
      </w:pPr>
      <w:r w:rsidRPr="00D51718">
        <w:rPr>
          <w:rFonts w:eastAsia="Calibri"/>
        </w:rPr>
        <w:t xml:space="preserve">Secondary data were collected from the total of 37 listed companies in the TT&amp;M sectors. Specifically, 18 companies were listed on the main market of Bursa Malaysia, and 19 companies were listed on the ACE market. The TT&amp;M sectors were selected as a focus of this study because they are technology-oriented sectors, hence they are the sectors of interest. This is because, as mentioned before, their performance could play an important role in carrying out </w:t>
      </w:r>
      <w:r w:rsidRPr="00337A06">
        <w:rPr>
          <w:rFonts w:eastAsia="Calibri"/>
        </w:rPr>
        <w:t xml:space="preserve">Malaysia’s National policy of Industry4WRD. Moreover, high-technology companies </w:t>
      </w:r>
      <w:r w:rsidRPr="007723E9">
        <w:rPr>
          <w:rFonts w:eastAsia="Calibri"/>
        </w:rPr>
        <w:t>have</w:t>
      </w:r>
      <w:r w:rsidRPr="00337A06">
        <w:rPr>
          <w:rFonts w:eastAsia="Calibri"/>
        </w:rPr>
        <w:t xml:space="preserve"> high IC</w:t>
      </w:r>
      <w:r w:rsidRPr="00FD1CDC">
        <w:rPr>
          <w:rFonts w:eastAsia="Calibri"/>
        </w:rPr>
        <w:t xml:space="preserve"> </w:t>
      </w:r>
      <w:r w:rsidRPr="007723E9">
        <w:rPr>
          <w:rFonts w:eastAsia="Calibri"/>
        </w:rPr>
        <w:t xml:space="preserve">(Sofian, Tayles &amp; Pike, 2006; Bontis, Janosevic &amp; Dzenopoljac, 2015; Scafarto, Ricci &amp; Scafarto, 2016). </w:t>
      </w:r>
      <w:r w:rsidRPr="00337A06">
        <w:rPr>
          <w:rFonts w:eastAsia="Calibri"/>
        </w:rPr>
        <w:t>The relevant data to measure VAIC, HCe, SCe, CEe, ROA, ROE, firm size and leverage were collected from the annual reports of these companies for the year 2018.</w:t>
      </w:r>
      <w:r w:rsidRPr="00D51718">
        <w:rPr>
          <w:rFonts w:eastAsia="Calibri"/>
        </w:rPr>
        <w:t xml:space="preserve"> </w:t>
      </w:r>
    </w:p>
    <w:p w14:paraId="7537819E" w14:textId="77777777" w:rsidR="00A808EB" w:rsidRPr="00D51718" w:rsidRDefault="00A808EB" w:rsidP="00A808EB">
      <w:pPr>
        <w:spacing w:after="240"/>
        <w:ind w:firstLine="720"/>
        <w:jc w:val="both"/>
        <w:rPr>
          <w:rFonts w:asciiTheme="majorBidi" w:hAnsiTheme="majorBidi" w:cstheme="majorBidi"/>
        </w:rPr>
      </w:pPr>
      <w:r w:rsidRPr="00D51718">
        <w:rPr>
          <w:rFonts w:eastAsia="Calibri"/>
        </w:rPr>
        <w:t xml:space="preserve">In this study, the independent variables are </w:t>
      </w:r>
      <w:r w:rsidRPr="00D51718">
        <w:rPr>
          <w:rFonts w:asciiTheme="majorBidi" w:hAnsiTheme="majorBidi" w:cstheme="majorBidi"/>
        </w:rPr>
        <w:t>VAIC and its components, HCe, SCe and CEe. These independent variables are measured using Pulic’s method of calculating ICe. Numerous prior studies, including in Malaysia, have used</w:t>
      </w:r>
      <w:r w:rsidRPr="00D51718">
        <w:rPr>
          <w:rFonts w:asciiTheme="majorBidi" w:hAnsiTheme="majorBidi" w:cstheme="majorBidi"/>
          <w:rtl/>
        </w:rPr>
        <w:t xml:space="preserve"> </w:t>
      </w:r>
      <w:r w:rsidRPr="00D51718">
        <w:rPr>
          <w:rFonts w:asciiTheme="majorBidi" w:hAnsiTheme="majorBidi" w:cstheme="majorBidi"/>
        </w:rPr>
        <w:t xml:space="preserve">Pulic’s VAIC model to measure ICe. </w:t>
      </w:r>
    </w:p>
    <w:p w14:paraId="6D7492C4" w14:textId="77777777" w:rsidR="00A808EB" w:rsidRPr="00D51718" w:rsidRDefault="00A808EB" w:rsidP="00A808EB">
      <w:pPr>
        <w:spacing w:after="240"/>
        <w:ind w:firstLine="567"/>
        <w:jc w:val="both"/>
        <w:rPr>
          <w:rFonts w:eastAsia="Calibri"/>
        </w:rPr>
      </w:pPr>
      <w:r w:rsidRPr="00D51718">
        <w:rPr>
          <w:rFonts w:asciiTheme="majorBidi" w:hAnsiTheme="majorBidi" w:cstheme="majorBidi"/>
        </w:rPr>
        <w:t xml:space="preserve">On the other hand, the dependent variables of this study </w:t>
      </w:r>
      <w:r w:rsidRPr="00D51718">
        <w:rPr>
          <w:rFonts w:eastAsia="Calibri"/>
        </w:rPr>
        <w:t xml:space="preserve">are </w:t>
      </w:r>
      <w:r w:rsidRPr="00D51718">
        <w:rPr>
          <w:rFonts w:eastAsia="Calibri"/>
          <w:bCs/>
        </w:rPr>
        <w:t xml:space="preserve">ROA and ROE, </w:t>
      </w:r>
      <w:r w:rsidRPr="00D51718">
        <w:rPr>
          <w:rFonts w:eastAsia="Calibri"/>
        </w:rPr>
        <w:t xml:space="preserve">which are firm performance, specifically profitability measures. These dependent variables were selected because they are relevant to the context of this study. This is because ROA is an indicator of how a company uses assets to generate profit, and in the context of this study, IC is considered to be an essential asset. Whereas, ROE </w:t>
      </w:r>
      <w:r w:rsidRPr="00D51718">
        <w:rPr>
          <w:rFonts w:eastAsia="Calibri"/>
          <w:color w:val="000000" w:themeColor="text1"/>
        </w:rPr>
        <w:t xml:space="preserve">is an indicator of the profit generated by a company from the money invested by shareholders of the firm. As this study focuses on listed companies, these companies and their shareholders would be interested to know the returns generated from shareholders’ investments into the company, and whether IC is able to enhance these returns. In addition, these firm performance measures </w:t>
      </w:r>
      <w:r w:rsidRPr="00D51718">
        <w:rPr>
          <w:rFonts w:eastAsia="Calibri"/>
        </w:rPr>
        <w:t>are commonly used in the literature (Yalama</w:t>
      </w:r>
      <w:r w:rsidRPr="007462D0">
        <w:rPr>
          <w:rFonts w:eastAsia="Calibri"/>
        </w:rPr>
        <w:t>,</w:t>
      </w:r>
      <w:r>
        <w:rPr>
          <w:rFonts w:eastAsia="Calibri"/>
        </w:rPr>
        <w:t xml:space="preserve"> </w:t>
      </w:r>
      <w:r w:rsidRPr="007462D0">
        <w:rPr>
          <w:rFonts w:eastAsia="Calibri"/>
        </w:rPr>
        <w:t>2013</w:t>
      </w:r>
      <w:r>
        <w:rPr>
          <w:rFonts w:eastAsia="Calibri"/>
        </w:rPr>
        <w:t>;</w:t>
      </w:r>
      <w:r w:rsidRPr="007462D0">
        <w:rPr>
          <w:rFonts w:eastAsia="Calibri"/>
        </w:rPr>
        <w:t xml:space="preserve"> Maji &amp; Goseami</w:t>
      </w:r>
      <w:r>
        <w:rPr>
          <w:rFonts w:eastAsia="Calibri"/>
        </w:rPr>
        <w:t xml:space="preserve">, </w:t>
      </w:r>
      <w:r w:rsidRPr="007462D0">
        <w:rPr>
          <w:rFonts w:eastAsia="Calibri"/>
        </w:rPr>
        <w:t>2016</w:t>
      </w:r>
      <w:r>
        <w:rPr>
          <w:rFonts w:eastAsia="Calibri"/>
        </w:rPr>
        <w:t xml:space="preserve">; </w:t>
      </w:r>
      <w:r w:rsidRPr="007462D0">
        <w:rPr>
          <w:rFonts w:eastAsia="Calibri"/>
        </w:rPr>
        <w:t>Soetanto &amp; Liem 2019, Asiaei, Barani, Bontis &amp; Arabahmadi</w:t>
      </w:r>
      <w:r>
        <w:rPr>
          <w:rFonts w:eastAsia="Calibri"/>
        </w:rPr>
        <w:t>,</w:t>
      </w:r>
      <w:r w:rsidRPr="007462D0">
        <w:rPr>
          <w:rFonts w:eastAsia="Calibri"/>
        </w:rPr>
        <w:t xml:space="preserve"> </w:t>
      </w:r>
      <w:r w:rsidRPr="00D51718">
        <w:rPr>
          <w:rFonts w:eastAsia="Calibri"/>
        </w:rPr>
        <w:t xml:space="preserve">2020), including studies on Malaysian data (Gan &amp; Saleh, 2008; Nimtrakoon, 2015; Rahim et al., 2017; Pratama et al., 2019), as seen in the review of the literature above. Using similar measures would enable some meaningful comparison of the results of this study with its predecessors. </w:t>
      </w:r>
    </w:p>
    <w:p w14:paraId="2C2F5986" w14:textId="77777777" w:rsidR="00A808EB" w:rsidRPr="00D51718" w:rsidRDefault="00A808EB" w:rsidP="00A808EB">
      <w:pPr>
        <w:spacing w:after="240"/>
        <w:ind w:firstLine="567"/>
        <w:jc w:val="both"/>
        <w:rPr>
          <w:rFonts w:eastAsia="Calibri"/>
        </w:rPr>
      </w:pPr>
      <w:r w:rsidRPr="00D51718">
        <w:rPr>
          <w:rFonts w:eastAsia="Calibri"/>
        </w:rPr>
        <w:lastRenderedPageBreak/>
        <w:t xml:space="preserve">The control variables of this study are firm size, leverage and market. Firm size is controlled as in </w:t>
      </w:r>
      <w:r w:rsidRPr="00D51718">
        <w:rPr>
          <w:rFonts w:asciiTheme="majorBidi" w:hAnsiTheme="majorBidi" w:cstheme="majorBidi"/>
        </w:rPr>
        <w:t>prior studies (Mondal &amp; Ghosh, 2012; Bontis, Janosevic &amp; Dzenopoljac, 2015; Ozkan, Cakan &amp; Kayacan, 2016; Ting, Ren, Chen &amp; Kweh, 2020). Similarly, consistent with prior studies (Bontis et al., 2015; Zhicheng, Zhuoer, Shing &amp; Wah, 2016; Chiucchi, Giulian &amp; Poli, 2018), leverage is controlled. As for market, a dummy variable of ‘1’ is assigned if the firm is on the main market, and ‘0’ if it is on the ACE market.</w:t>
      </w:r>
    </w:p>
    <w:p w14:paraId="2F8A27F2" w14:textId="77777777" w:rsidR="00A808EB" w:rsidRPr="00D51718" w:rsidRDefault="00A808EB" w:rsidP="00A808EB">
      <w:pPr>
        <w:jc w:val="both"/>
        <w:rPr>
          <w:rFonts w:asciiTheme="majorBidi" w:hAnsiTheme="majorBidi" w:cstheme="majorBidi"/>
        </w:rPr>
      </w:pPr>
      <w:r w:rsidRPr="00D51718">
        <w:rPr>
          <w:rFonts w:asciiTheme="majorBidi" w:hAnsiTheme="majorBidi" w:cstheme="majorBidi"/>
        </w:rPr>
        <w:tab/>
        <w:t>In order to determine the association between VAIC and financial performance, the following multivariate regression was run:</w:t>
      </w:r>
    </w:p>
    <w:p w14:paraId="622B4694" w14:textId="77777777" w:rsidR="00A808EB" w:rsidRPr="007C216B" w:rsidRDefault="00A808EB" w:rsidP="00A808EB">
      <w:pPr>
        <w:jc w:val="both"/>
        <w:rPr>
          <w:rFonts w:asciiTheme="majorBidi" w:hAnsiTheme="majorBidi" w:cstheme="majorBidi"/>
          <w:highlight w:val="cyan"/>
        </w:rPr>
      </w:pPr>
    </w:p>
    <w:p w14:paraId="313F8989"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FP = x</w:t>
      </w:r>
      <w:r w:rsidRPr="00D13E6F">
        <w:rPr>
          <w:rFonts w:asciiTheme="majorBidi" w:hAnsiTheme="majorBidi" w:cstheme="majorBidi"/>
          <w:vertAlign w:val="subscript"/>
        </w:rPr>
        <w:t>1</w:t>
      </w:r>
      <w:r w:rsidRPr="00D13E6F">
        <w:rPr>
          <w:rFonts w:asciiTheme="majorBidi" w:hAnsiTheme="majorBidi" w:cstheme="majorBidi"/>
        </w:rPr>
        <w:t xml:space="preserve"> + x</w:t>
      </w:r>
      <w:r w:rsidRPr="00D13E6F">
        <w:rPr>
          <w:rFonts w:asciiTheme="majorBidi" w:hAnsiTheme="majorBidi" w:cstheme="majorBidi"/>
          <w:vertAlign w:val="subscript"/>
        </w:rPr>
        <w:t>2</w:t>
      </w:r>
      <w:r w:rsidRPr="00D13E6F">
        <w:rPr>
          <w:rFonts w:asciiTheme="majorBidi" w:hAnsiTheme="majorBidi" w:cstheme="majorBidi"/>
        </w:rPr>
        <w:t>VAIC + x</w:t>
      </w:r>
      <w:r w:rsidRPr="00D13E6F">
        <w:rPr>
          <w:rFonts w:asciiTheme="majorBidi" w:hAnsiTheme="majorBidi" w:cstheme="majorBidi"/>
          <w:vertAlign w:val="subscript"/>
        </w:rPr>
        <w:t>3</w:t>
      </w:r>
      <w:r w:rsidRPr="00D13E6F">
        <w:rPr>
          <w:rFonts w:asciiTheme="majorBidi" w:hAnsiTheme="majorBidi" w:cstheme="majorBidi"/>
        </w:rPr>
        <w:t>Size + x</w:t>
      </w:r>
      <w:r w:rsidRPr="00D13E6F">
        <w:rPr>
          <w:rFonts w:asciiTheme="majorBidi" w:hAnsiTheme="majorBidi" w:cstheme="majorBidi"/>
          <w:vertAlign w:val="subscript"/>
        </w:rPr>
        <w:t>4</w:t>
      </w:r>
      <w:r w:rsidRPr="00D13E6F">
        <w:rPr>
          <w:rFonts w:asciiTheme="majorBidi" w:hAnsiTheme="majorBidi" w:cstheme="majorBidi"/>
        </w:rPr>
        <w:t xml:space="preserve">Lev </w:t>
      </w:r>
      <w:r w:rsidRPr="00D13E6F">
        <w:rPr>
          <w:rFonts w:asciiTheme="majorBidi" w:hAnsiTheme="majorBidi" w:cstheme="majorBidi"/>
        </w:rPr>
        <w:tab/>
        <w:t>+ x</w:t>
      </w:r>
      <w:r w:rsidRPr="00D13E6F">
        <w:rPr>
          <w:rFonts w:asciiTheme="majorBidi" w:hAnsiTheme="majorBidi" w:cstheme="majorBidi"/>
          <w:vertAlign w:val="subscript"/>
        </w:rPr>
        <w:t>5</w:t>
      </w:r>
      <w:r w:rsidRPr="00D13E6F">
        <w:rPr>
          <w:rFonts w:asciiTheme="majorBidi" w:hAnsiTheme="majorBidi" w:cstheme="majorBidi"/>
        </w:rPr>
        <w:t>Mkt    --------------------------------------</w:t>
      </w:r>
      <w:r w:rsidRPr="00D13E6F">
        <w:rPr>
          <w:rFonts w:asciiTheme="majorBidi" w:hAnsiTheme="majorBidi" w:cstheme="majorBidi"/>
        </w:rPr>
        <w:tab/>
        <w:t>(1)</w:t>
      </w:r>
    </w:p>
    <w:p w14:paraId="6D8C2A94" w14:textId="77777777" w:rsidR="00A808EB" w:rsidRPr="00D13E6F" w:rsidRDefault="00A808EB" w:rsidP="00A808EB">
      <w:pPr>
        <w:ind w:firstLine="720"/>
        <w:jc w:val="both"/>
        <w:rPr>
          <w:rFonts w:asciiTheme="majorBidi" w:hAnsiTheme="majorBidi" w:cstheme="majorBidi"/>
        </w:rPr>
      </w:pPr>
    </w:p>
    <w:p w14:paraId="354A597E"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 xml:space="preserve">Where: </w:t>
      </w:r>
      <w:r w:rsidRPr="00D13E6F">
        <w:rPr>
          <w:rFonts w:asciiTheme="majorBidi" w:hAnsiTheme="majorBidi" w:cstheme="majorBidi"/>
        </w:rPr>
        <w:tab/>
        <w:t>FP = financial performance (proxied by ROA or ROE)</w:t>
      </w:r>
    </w:p>
    <w:p w14:paraId="0057F5A4" w14:textId="77777777" w:rsidR="00A808EB" w:rsidRPr="0006087A"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 xml:space="preserve">VAIC = Pulic’s Value </w:t>
      </w:r>
      <w:r>
        <w:rPr>
          <w:rFonts w:asciiTheme="majorBidi" w:hAnsiTheme="majorBidi" w:cstheme="majorBidi"/>
        </w:rPr>
        <w:t>A</w:t>
      </w:r>
      <w:r w:rsidRPr="00D13E6F">
        <w:rPr>
          <w:rFonts w:asciiTheme="majorBidi" w:hAnsiTheme="majorBidi" w:cstheme="majorBidi"/>
        </w:rPr>
        <w:t xml:space="preserve">dded Intellectual </w:t>
      </w:r>
      <w:r w:rsidRPr="0006087A">
        <w:rPr>
          <w:rFonts w:asciiTheme="majorBidi" w:hAnsiTheme="majorBidi" w:cstheme="majorBidi"/>
        </w:rPr>
        <w:t>Coefficient</w:t>
      </w:r>
    </w:p>
    <w:p w14:paraId="49775744" w14:textId="77777777" w:rsidR="00A808EB" w:rsidRPr="0006087A" w:rsidRDefault="00A808EB" w:rsidP="00A808EB">
      <w:pPr>
        <w:ind w:firstLine="720"/>
        <w:jc w:val="both"/>
        <w:rPr>
          <w:rFonts w:asciiTheme="majorBidi" w:hAnsiTheme="majorBidi" w:cstheme="majorBidi"/>
        </w:rPr>
      </w:pPr>
      <w:r w:rsidRPr="0006087A">
        <w:rPr>
          <w:rFonts w:asciiTheme="majorBidi" w:hAnsiTheme="majorBidi" w:cstheme="majorBidi"/>
        </w:rPr>
        <w:tab/>
      </w:r>
      <w:r w:rsidRPr="0006087A">
        <w:rPr>
          <w:rFonts w:asciiTheme="majorBidi" w:hAnsiTheme="majorBidi" w:cstheme="majorBidi"/>
        </w:rPr>
        <w:tab/>
        <w:t>Size = Firm size as measured by total revenue</w:t>
      </w:r>
    </w:p>
    <w:p w14:paraId="025B9883" w14:textId="77777777" w:rsidR="00A808EB" w:rsidRPr="00BD66DC" w:rsidRDefault="00A808EB" w:rsidP="00A808EB">
      <w:pPr>
        <w:ind w:firstLine="720"/>
        <w:jc w:val="both"/>
        <w:rPr>
          <w:rFonts w:asciiTheme="majorBidi" w:hAnsiTheme="majorBidi" w:cstheme="majorBidi"/>
        </w:rPr>
      </w:pPr>
      <w:r w:rsidRPr="0006087A">
        <w:rPr>
          <w:rFonts w:asciiTheme="majorBidi" w:hAnsiTheme="majorBidi" w:cstheme="majorBidi"/>
        </w:rPr>
        <w:tab/>
      </w:r>
      <w:r w:rsidRPr="0006087A">
        <w:rPr>
          <w:rFonts w:asciiTheme="majorBidi" w:hAnsiTheme="majorBidi" w:cstheme="majorBidi"/>
        </w:rPr>
        <w:tab/>
        <w:t>Lev = Leverage as measured by total liabilities on</w:t>
      </w:r>
      <w:r>
        <w:rPr>
          <w:rFonts w:asciiTheme="majorBidi" w:hAnsiTheme="majorBidi" w:cstheme="majorBidi"/>
        </w:rPr>
        <w:t xml:space="preserve"> </w:t>
      </w:r>
      <w:r w:rsidRPr="00BD66DC">
        <w:rPr>
          <w:rFonts w:asciiTheme="majorBidi" w:hAnsiTheme="majorBidi" w:cstheme="majorBidi"/>
        </w:rPr>
        <w:t>shareholders’ equity</w:t>
      </w:r>
    </w:p>
    <w:p w14:paraId="0EF67C0F"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Mkt = Market, measured by 1 = Main market; 0 = ACE market</w:t>
      </w:r>
    </w:p>
    <w:p w14:paraId="21021436"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x</w:t>
      </w:r>
      <w:r w:rsidRPr="00D13E6F">
        <w:rPr>
          <w:rFonts w:asciiTheme="majorBidi" w:hAnsiTheme="majorBidi" w:cstheme="majorBidi"/>
          <w:vertAlign w:val="subscript"/>
        </w:rPr>
        <w:t>1</w:t>
      </w:r>
      <w:r w:rsidRPr="00D13E6F">
        <w:rPr>
          <w:rFonts w:asciiTheme="majorBidi" w:hAnsiTheme="majorBidi" w:cstheme="majorBidi"/>
        </w:rPr>
        <w:t xml:space="preserve"> = constant</w:t>
      </w:r>
    </w:p>
    <w:p w14:paraId="67CE0E0B" w14:textId="77777777" w:rsidR="00A808EB" w:rsidRDefault="00A808EB" w:rsidP="00A808EB">
      <w:pPr>
        <w:ind w:left="1440" w:firstLine="720"/>
        <w:jc w:val="both"/>
        <w:rPr>
          <w:rFonts w:asciiTheme="majorBidi" w:hAnsiTheme="majorBidi" w:cstheme="majorBidi"/>
        </w:rPr>
      </w:pPr>
      <w:r w:rsidRPr="00D13E6F">
        <w:rPr>
          <w:rFonts w:asciiTheme="majorBidi" w:hAnsiTheme="majorBidi" w:cstheme="majorBidi"/>
        </w:rPr>
        <w:t>x</w:t>
      </w:r>
      <w:r w:rsidRPr="00D13E6F">
        <w:rPr>
          <w:rFonts w:asciiTheme="majorBidi" w:hAnsiTheme="majorBidi" w:cstheme="majorBidi"/>
          <w:vertAlign w:val="subscript"/>
        </w:rPr>
        <w:t>2</w:t>
      </w:r>
      <w:r w:rsidRPr="00D13E6F">
        <w:rPr>
          <w:rFonts w:asciiTheme="majorBidi" w:hAnsiTheme="majorBidi" w:cstheme="majorBidi"/>
        </w:rPr>
        <w:t xml:space="preserve"> - x</w:t>
      </w:r>
      <w:r w:rsidRPr="00D13E6F">
        <w:rPr>
          <w:rFonts w:asciiTheme="majorBidi" w:hAnsiTheme="majorBidi" w:cstheme="majorBidi"/>
          <w:vertAlign w:val="subscript"/>
        </w:rPr>
        <w:t>5</w:t>
      </w:r>
      <w:r w:rsidRPr="00D13E6F">
        <w:rPr>
          <w:rFonts w:asciiTheme="majorBidi" w:hAnsiTheme="majorBidi" w:cstheme="majorBidi"/>
        </w:rPr>
        <w:t xml:space="preserve"> = coefficients</w:t>
      </w:r>
    </w:p>
    <w:p w14:paraId="66FD9F33" w14:textId="77777777" w:rsidR="00A808EB" w:rsidRDefault="00A808EB" w:rsidP="00A808EB">
      <w:pPr>
        <w:jc w:val="both"/>
        <w:rPr>
          <w:rFonts w:asciiTheme="majorBidi" w:hAnsiTheme="majorBidi" w:cstheme="majorBidi"/>
        </w:rPr>
      </w:pPr>
    </w:p>
    <w:p w14:paraId="2AD15440" w14:textId="77777777" w:rsidR="00A808EB" w:rsidRPr="00D13E6F" w:rsidRDefault="00A808EB" w:rsidP="00A808EB">
      <w:pPr>
        <w:jc w:val="both"/>
        <w:rPr>
          <w:rFonts w:asciiTheme="majorBidi" w:hAnsiTheme="majorBidi" w:cstheme="majorBidi"/>
        </w:rPr>
      </w:pPr>
      <w:r w:rsidRPr="00D13E6F">
        <w:rPr>
          <w:rFonts w:asciiTheme="majorBidi" w:hAnsiTheme="majorBidi" w:cstheme="majorBidi"/>
        </w:rPr>
        <w:t>Then, the association between the components of ICe and firm performance was tested using the following multivariate regression:</w:t>
      </w:r>
    </w:p>
    <w:p w14:paraId="3B99E43B" w14:textId="77777777" w:rsidR="00A808EB" w:rsidRPr="00D13E6F" w:rsidRDefault="00A808EB" w:rsidP="00A808EB">
      <w:pPr>
        <w:jc w:val="both"/>
        <w:rPr>
          <w:rFonts w:asciiTheme="majorBidi" w:hAnsiTheme="majorBidi" w:cstheme="majorBidi"/>
        </w:rPr>
      </w:pPr>
    </w:p>
    <w:p w14:paraId="19D58221"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t>FP = y</w:t>
      </w:r>
      <w:r w:rsidRPr="00D13E6F">
        <w:rPr>
          <w:rFonts w:asciiTheme="majorBidi" w:hAnsiTheme="majorBidi" w:cstheme="majorBidi"/>
          <w:vertAlign w:val="subscript"/>
        </w:rPr>
        <w:t>1</w:t>
      </w:r>
      <w:r w:rsidRPr="00D13E6F">
        <w:rPr>
          <w:rFonts w:asciiTheme="majorBidi" w:hAnsiTheme="majorBidi" w:cstheme="majorBidi"/>
        </w:rPr>
        <w:t xml:space="preserve"> + y</w:t>
      </w:r>
      <w:r w:rsidRPr="00D13E6F">
        <w:rPr>
          <w:rFonts w:asciiTheme="majorBidi" w:hAnsiTheme="majorBidi" w:cstheme="majorBidi"/>
          <w:vertAlign w:val="subscript"/>
        </w:rPr>
        <w:t>2</w:t>
      </w:r>
      <w:r w:rsidRPr="00D13E6F">
        <w:rPr>
          <w:rFonts w:asciiTheme="majorBidi" w:hAnsiTheme="majorBidi" w:cstheme="majorBidi"/>
        </w:rPr>
        <w:t>HCe + y</w:t>
      </w:r>
      <w:r w:rsidRPr="00D13E6F">
        <w:rPr>
          <w:rFonts w:asciiTheme="majorBidi" w:hAnsiTheme="majorBidi" w:cstheme="majorBidi"/>
          <w:vertAlign w:val="subscript"/>
        </w:rPr>
        <w:t>3</w:t>
      </w:r>
      <w:r w:rsidRPr="00D13E6F">
        <w:rPr>
          <w:rFonts w:asciiTheme="majorBidi" w:hAnsiTheme="majorBidi" w:cstheme="majorBidi"/>
        </w:rPr>
        <w:t>SCe + y</w:t>
      </w:r>
      <w:r w:rsidRPr="00D13E6F">
        <w:rPr>
          <w:rFonts w:asciiTheme="majorBidi" w:hAnsiTheme="majorBidi" w:cstheme="majorBidi"/>
          <w:vertAlign w:val="subscript"/>
        </w:rPr>
        <w:t>4</w:t>
      </w:r>
      <w:r w:rsidRPr="00D13E6F">
        <w:rPr>
          <w:rFonts w:asciiTheme="majorBidi" w:hAnsiTheme="majorBidi" w:cstheme="majorBidi"/>
        </w:rPr>
        <w:t>CEe + y</w:t>
      </w:r>
      <w:r w:rsidRPr="00D13E6F">
        <w:rPr>
          <w:rFonts w:asciiTheme="majorBidi" w:hAnsiTheme="majorBidi" w:cstheme="majorBidi"/>
          <w:vertAlign w:val="subscript"/>
        </w:rPr>
        <w:t>5</w:t>
      </w:r>
      <w:r w:rsidRPr="00D13E6F">
        <w:rPr>
          <w:rFonts w:asciiTheme="majorBidi" w:hAnsiTheme="majorBidi" w:cstheme="majorBidi"/>
        </w:rPr>
        <w:t>Size + y</w:t>
      </w:r>
      <w:r w:rsidRPr="00D13E6F">
        <w:rPr>
          <w:rFonts w:asciiTheme="majorBidi" w:hAnsiTheme="majorBidi" w:cstheme="majorBidi"/>
          <w:vertAlign w:val="subscript"/>
        </w:rPr>
        <w:t>6</w:t>
      </w:r>
      <w:r w:rsidRPr="00D13E6F">
        <w:rPr>
          <w:rFonts w:asciiTheme="majorBidi" w:hAnsiTheme="majorBidi" w:cstheme="majorBidi"/>
        </w:rPr>
        <w:t>Lev</w:t>
      </w:r>
      <w:r w:rsidRPr="00D13E6F">
        <w:rPr>
          <w:rFonts w:asciiTheme="majorBidi" w:hAnsiTheme="majorBidi" w:cstheme="majorBidi"/>
        </w:rPr>
        <w:tab/>
        <w:t xml:space="preserve"> + y</w:t>
      </w:r>
      <w:r w:rsidRPr="00D13E6F">
        <w:rPr>
          <w:rFonts w:asciiTheme="majorBidi" w:hAnsiTheme="majorBidi" w:cstheme="majorBidi"/>
          <w:vertAlign w:val="subscript"/>
        </w:rPr>
        <w:t>7</w:t>
      </w:r>
      <w:r w:rsidRPr="00D13E6F">
        <w:rPr>
          <w:rFonts w:asciiTheme="majorBidi" w:hAnsiTheme="majorBidi" w:cstheme="majorBidi"/>
        </w:rPr>
        <w:t>Mkt  -------------</w:t>
      </w:r>
      <w:r w:rsidRPr="00D13E6F">
        <w:rPr>
          <w:rFonts w:asciiTheme="majorBidi" w:hAnsiTheme="majorBidi" w:cstheme="majorBidi"/>
        </w:rPr>
        <w:tab/>
        <w:t>(2)</w:t>
      </w:r>
    </w:p>
    <w:p w14:paraId="2EEDE589" w14:textId="77777777" w:rsidR="00A808EB" w:rsidRPr="00D13E6F" w:rsidRDefault="00A808EB" w:rsidP="00A808EB">
      <w:pPr>
        <w:ind w:firstLine="720"/>
        <w:jc w:val="both"/>
        <w:rPr>
          <w:rFonts w:asciiTheme="majorBidi" w:hAnsiTheme="majorBidi" w:cstheme="majorBidi"/>
        </w:rPr>
      </w:pPr>
    </w:p>
    <w:p w14:paraId="778B7F6D"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 xml:space="preserve">Where: </w:t>
      </w:r>
      <w:r w:rsidRPr="00D13E6F">
        <w:rPr>
          <w:rFonts w:asciiTheme="majorBidi" w:hAnsiTheme="majorBidi" w:cstheme="majorBidi"/>
        </w:rPr>
        <w:tab/>
        <w:t>FP = financial performance (proxied by ROA or ROE)</w:t>
      </w:r>
    </w:p>
    <w:p w14:paraId="3DA45D74"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HCe = Pulic’s Human Capital efficiency</w:t>
      </w:r>
    </w:p>
    <w:p w14:paraId="65A1F17F"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SCe = Pulic’s Structural Capital efficiency</w:t>
      </w:r>
    </w:p>
    <w:p w14:paraId="10BA847C"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CEe = Pulic’s Capital Employed efficiency</w:t>
      </w:r>
    </w:p>
    <w:p w14:paraId="5E793960" w14:textId="77777777" w:rsidR="00A808EB" w:rsidRPr="00BD66DC"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 xml:space="preserve">Size = Firm size as measured by </w:t>
      </w:r>
      <w:r w:rsidRPr="00BD66DC">
        <w:rPr>
          <w:rFonts w:asciiTheme="majorBidi" w:hAnsiTheme="majorBidi" w:cstheme="majorBidi"/>
        </w:rPr>
        <w:t>total revenue</w:t>
      </w:r>
    </w:p>
    <w:p w14:paraId="6B9AF7C8" w14:textId="77777777" w:rsidR="00A808EB" w:rsidRPr="00BD66DC" w:rsidRDefault="00A808EB" w:rsidP="00A808EB">
      <w:pPr>
        <w:ind w:firstLine="720"/>
        <w:jc w:val="both"/>
        <w:rPr>
          <w:rFonts w:asciiTheme="majorBidi" w:hAnsiTheme="majorBidi" w:cstheme="majorBidi"/>
        </w:rPr>
      </w:pPr>
      <w:r w:rsidRPr="00BD66DC">
        <w:rPr>
          <w:rFonts w:asciiTheme="majorBidi" w:hAnsiTheme="majorBidi" w:cstheme="majorBidi"/>
        </w:rPr>
        <w:tab/>
      </w:r>
      <w:r w:rsidRPr="00BD66DC">
        <w:rPr>
          <w:rFonts w:asciiTheme="majorBidi" w:hAnsiTheme="majorBidi" w:cstheme="majorBidi"/>
        </w:rPr>
        <w:tab/>
      </w:r>
      <w:r w:rsidRPr="0006087A">
        <w:rPr>
          <w:rFonts w:asciiTheme="majorBidi" w:hAnsiTheme="majorBidi" w:cstheme="majorBidi"/>
        </w:rPr>
        <w:t>Lev = Leverage as measured by total liabilities on shareholders’</w:t>
      </w:r>
      <w:r w:rsidRPr="00BD66DC">
        <w:rPr>
          <w:rFonts w:asciiTheme="majorBidi" w:hAnsiTheme="majorBidi" w:cstheme="majorBidi"/>
        </w:rPr>
        <w:t xml:space="preserve"> equity</w:t>
      </w:r>
    </w:p>
    <w:p w14:paraId="3320A0AE"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Mkt = Market, measured by 1 = Main market; 0 = ACE market</w:t>
      </w:r>
    </w:p>
    <w:p w14:paraId="05C0F1C8" w14:textId="77777777" w:rsidR="00A808EB" w:rsidRPr="00D13E6F" w:rsidRDefault="00A808EB" w:rsidP="00A808EB">
      <w:pPr>
        <w:ind w:firstLine="720"/>
        <w:jc w:val="both"/>
        <w:rPr>
          <w:rFonts w:asciiTheme="majorBidi" w:hAnsiTheme="majorBidi" w:cstheme="majorBidi"/>
        </w:rPr>
      </w:pPr>
      <w:r w:rsidRPr="00D13E6F">
        <w:rPr>
          <w:rFonts w:asciiTheme="majorBidi" w:hAnsiTheme="majorBidi" w:cstheme="majorBidi"/>
        </w:rPr>
        <w:tab/>
      </w:r>
      <w:r w:rsidRPr="00D13E6F">
        <w:rPr>
          <w:rFonts w:asciiTheme="majorBidi" w:hAnsiTheme="majorBidi" w:cstheme="majorBidi"/>
        </w:rPr>
        <w:tab/>
        <w:t>y</w:t>
      </w:r>
      <w:r w:rsidRPr="00D13E6F">
        <w:rPr>
          <w:rFonts w:asciiTheme="majorBidi" w:hAnsiTheme="majorBidi" w:cstheme="majorBidi"/>
          <w:vertAlign w:val="subscript"/>
        </w:rPr>
        <w:t>1</w:t>
      </w:r>
      <w:r w:rsidRPr="00D13E6F">
        <w:rPr>
          <w:rFonts w:asciiTheme="majorBidi" w:hAnsiTheme="majorBidi" w:cstheme="majorBidi"/>
        </w:rPr>
        <w:t xml:space="preserve"> = constant</w:t>
      </w:r>
    </w:p>
    <w:p w14:paraId="56082C78" w14:textId="77777777" w:rsidR="00A808EB" w:rsidRDefault="00A808EB" w:rsidP="00A808EB">
      <w:pPr>
        <w:ind w:left="1440" w:firstLine="720"/>
        <w:jc w:val="both"/>
        <w:rPr>
          <w:rFonts w:asciiTheme="majorBidi" w:hAnsiTheme="majorBidi" w:cstheme="majorBidi"/>
        </w:rPr>
      </w:pPr>
      <w:r w:rsidRPr="00D13E6F">
        <w:rPr>
          <w:rFonts w:asciiTheme="majorBidi" w:hAnsiTheme="majorBidi" w:cstheme="majorBidi"/>
        </w:rPr>
        <w:t>y</w:t>
      </w:r>
      <w:r w:rsidRPr="00D13E6F">
        <w:rPr>
          <w:rFonts w:asciiTheme="majorBidi" w:hAnsiTheme="majorBidi" w:cstheme="majorBidi"/>
          <w:vertAlign w:val="subscript"/>
        </w:rPr>
        <w:t>2</w:t>
      </w:r>
      <w:r w:rsidRPr="00D13E6F">
        <w:rPr>
          <w:rFonts w:asciiTheme="majorBidi" w:hAnsiTheme="majorBidi" w:cstheme="majorBidi"/>
        </w:rPr>
        <w:t xml:space="preserve"> – y</w:t>
      </w:r>
      <w:r w:rsidRPr="00D13E6F">
        <w:rPr>
          <w:rFonts w:asciiTheme="majorBidi" w:hAnsiTheme="majorBidi" w:cstheme="majorBidi"/>
          <w:vertAlign w:val="subscript"/>
        </w:rPr>
        <w:t>7</w:t>
      </w:r>
      <w:r w:rsidRPr="00D13E6F">
        <w:rPr>
          <w:rFonts w:asciiTheme="majorBidi" w:hAnsiTheme="majorBidi" w:cstheme="majorBidi"/>
        </w:rPr>
        <w:t xml:space="preserve"> = coefficients</w:t>
      </w:r>
    </w:p>
    <w:p w14:paraId="129ED4E2" w14:textId="77777777" w:rsidR="00A808EB" w:rsidRDefault="00A808EB" w:rsidP="00A808EB">
      <w:pPr>
        <w:pStyle w:val="Heading2"/>
        <w:rPr>
          <w:rFonts w:eastAsia="Times New Roman"/>
          <w:caps/>
        </w:rPr>
      </w:pPr>
    </w:p>
    <w:p w14:paraId="72599B0B" w14:textId="77777777" w:rsidR="00A808EB" w:rsidRPr="007462D0" w:rsidRDefault="00A808EB" w:rsidP="00A808EB">
      <w:pPr>
        <w:pStyle w:val="Heading2"/>
        <w:jc w:val="center"/>
        <w:rPr>
          <w:rFonts w:eastAsia="Times New Roman"/>
        </w:rPr>
      </w:pPr>
      <w:r w:rsidRPr="007462D0">
        <w:rPr>
          <w:rFonts w:eastAsia="Times New Roman"/>
        </w:rPr>
        <w:t xml:space="preserve">EMPIRICAL RESULTS </w:t>
      </w:r>
      <w:r>
        <w:rPr>
          <w:rFonts w:eastAsia="Times New Roman"/>
        </w:rPr>
        <w:t>A</w:t>
      </w:r>
      <w:r w:rsidRPr="007462D0">
        <w:rPr>
          <w:rFonts w:eastAsia="Times New Roman"/>
        </w:rPr>
        <w:t>ND DISCUSSION</w:t>
      </w:r>
      <w:bookmarkStart w:id="1" w:name="_Toc451255027"/>
    </w:p>
    <w:p w14:paraId="729DF6FE" w14:textId="77777777" w:rsidR="00A808EB" w:rsidRDefault="00A808EB" w:rsidP="00A808EB">
      <w:pPr>
        <w:jc w:val="both"/>
        <w:rPr>
          <w:lang w:bidi="ar-YE"/>
        </w:rPr>
      </w:pPr>
      <w:r w:rsidRPr="00D51718">
        <w:rPr>
          <w:lang w:bidi="ar-YE"/>
        </w:rPr>
        <w:t xml:space="preserve">Table 1 presents the descriptive statistics of the variables used in this study. The firm performance variables indicate the average ROA of the companies in the TT&amp;M sectors is approximately 0.05. This means that nearly 5 cents is generated for every RM 1 of asset employed.  As for ROE, on average, there </w:t>
      </w:r>
      <w:r w:rsidRPr="004D5097">
        <w:rPr>
          <w:lang w:bidi="ar-YE"/>
        </w:rPr>
        <w:t>is about 14 cents of returns for every RM 1 invested by shareholders. Nevertheless, it has to be noted that ROE has a relatively wide range of minimum and maximum values and proportionately large standard deviation.  Thus, ROE is</w:t>
      </w:r>
      <w:r>
        <w:rPr>
          <w:lang w:bidi="ar-YE"/>
        </w:rPr>
        <w:t xml:space="preserve"> </w:t>
      </w:r>
      <w:r w:rsidRPr="00D51718">
        <w:rPr>
          <w:lang w:bidi="ar-YE"/>
        </w:rPr>
        <w:t>not normally distributed.</w:t>
      </w:r>
    </w:p>
    <w:p w14:paraId="3119742C" w14:textId="77777777" w:rsidR="00A808EB" w:rsidRDefault="00A808EB" w:rsidP="00A808EB">
      <w:pPr>
        <w:jc w:val="both"/>
        <w:rPr>
          <w:lang w:bidi="ar-YE"/>
        </w:rPr>
      </w:pPr>
    </w:p>
    <w:p w14:paraId="388A863D" w14:textId="77777777" w:rsidR="00A808EB" w:rsidRDefault="00A808EB" w:rsidP="00A808EB">
      <w:pPr>
        <w:spacing w:after="240"/>
        <w:ind w:firstLine="720"/>
        <w:jc w:val="both"/>
        <w:rPr>
          <w:lang w:bidi="ar-YE"/>
        </w:rPr>
      </w:pPr>
      <w:r w:rsidRPr="00D51718">
        <w:rPr>
          <w:lang w:bidi="ar-YE"/>
        </w:rPr>
        <w:t xml:space="preserve">In analysing VAIC and its components, the statistics show that there is also a considerably wide range between the minimum and maximum </w:t>
      </w:r>
      <w:r w:rsidRPr="004D5097">
        <w:rPr>
          <w:lang w:bidi="ar-YE"/>
        </w:rPr>
        <w:t>values for HCe and SCe,</w:t>
      </w:r>
      <w:r w:rsidRPr="00D51718">
        <w:rPr>
          <w:lang w:bidi="ar-YE"/>
        </w:rPr>
        <w:t xml:space="preserve"> as well as their standard deviations are proportionately high. Therefore, these variables are also not </w:t>
      </w:r>
      <w:r w:rsidRPr="00D51718">
        <w:rPr>
          <w:lang w:bidi="ar-YE"/>
        </w:rPr>
        <w:lastRenderedPageBreak/>
        <w:t>normally distributed. In addition, based on the mean values of the ICe components, HCe is the highest compared to SCe and CEe.</w:t>
      </w:r>
    </w:p>
    <w:p w14:paraId="354CAC3A" w14:textId="77777777" w:rsidR="00A808EB" w:rsidRPr="00504937" w:rsidRDefault="00A808EB" w:rsidP="00A808EB">
      <w:pPr>
        <w:spacing w:after="240"/>
        <w:ind w:firstLine="720"/>
        <w:jc w:val="both"/>
        <w:rPr>
          <w:lang w:bidi="ar-YE"/>
        </w:rPr>
      </w:pPr>
      <w:r w:rsidRPr="00D51718">
        <w:rPr>
          <w:lang w:bidi="ar-YE"/>
        </w:rPr>
        <w:t xml:space="preserve">The companies in the TT&amp;M sectors have a huge variation in firm size with the minimum size </w:t>
      </w:r>
      <w:r w:rsidRPr="0003695D">
        <w:rPr>
          <w:lang w:bidi="ar-YE"/>
        </w:rPr>
        <w:t xml:space="preserve">being approximately RM 2.2 million in terms of </w:t>
      </w:r>
      <w:r w:rsidRPr="00504937">
        <w:rPr>
          <w:lang w:bidi="ar-YE"/>
        </w:rPr>
        <w:t>total revenue</w:t>
      </w:r>
      <w:r w:rsidRPr="0003695D">
        <w:rPr>
          <w:lang w:bidi="ar-YE"/>
        </w:rPr>
        <w:t>, whereas the maximum firm size is about RM 23.9 billion. On average, these companies’ size is about RM 1.3 billion in</w:t>
      </w:r>
      <w:r w:rsidRPr="00504937">
        <w:rPr>
          <w:lang w:bidi="ar-YE"/>
        </w:rPr>
        <w:t xml:space="preserve"> total revenue. </w:t>
      </w:r>
      <w:r w:rsidRPr="0003695D">
        <w:rPr>
          <w:lang w:bidi="ar-YE"/>
        </w:rPr>
        <w:t xml:space="preserve">In terms of leverage, the companies have approximately 70% </w:t>
      </w:r>
      <w:r w:rsidRPr="00504937">
        <w:rPr>
          <w:lang w:bidi="ar-YE"/>
        </w:rPr>
        <w:t xml:space="preserve">debt on their </w:t>
      </w:r>
      <w:r w:rsidRPr="00504937">
        <w:rPr>
          <w:rFonts w:asciiTheme="majorBidi" w:hAnsiTheme="majorBidi" w:cstheme="majorBidi"/>
        </w:rPr>
        <w:t>shareholders’ equity</w:t>
      </w:r>
      <w:r w:rsidRPr="00504937">
        <w:rPr>
          <w:lang w:bidi="ar-YE"/>
        </w:rPr>
        <w:t>. Again, the range and standard deviation are large.</w:t>
      </w:r>
      <w:r>
        <w:rPr>
          <w:lang w:bidi="ar-YE"/>
        </w:rPr>
        <w:t xml:space="preserve"> </w:t>
      </w:r>
      <w:r w:rsidRPr="004D5097">
        <w:rPr>
          <w:lang w:bidi="ar-YE"/>
        </w:rPr>
        <w:t>Thus, all of the above variables, except for ROA and CEe, are not normally distributed. Van der Waerden normalization approach was used to normalise the variables that were skewed. All variables were normally distributed after normalisation</w:t>
      </w:r>
      <w:r w:rsidRPr="00D51718">
        <w:rPr>
          <w:lang w:bidi="ar-YE"/>
        </w:rPr>
        <w:t>.</w:t>
      </w:r>
    </w:p>
    <w:p w14:paraId="5977ED48" w14:textId="77777777" w:rsidR="00A808EB" w:rsidRDefault="00A808EB" w:rsidP="00A808EB">
      <w:pPr>
        <w:jc w:val="both"/>
        <w:rPr>
          <w:lang w:bidi="ar-YE"/>
        </w:rPr>
      </w:pPr>
    </w:p>
    <w:p w14:paraId="68D6D68B" w14:textId="77777777" w:rsidR="00A808EB" w:rsidRPr="00714079" w:rsidRDefault="00A808EB" w:rsidP="00A808EB">
      <w:pPr>
        <w:jc w:val="center"/>
        <w:rPr>
          <w:rFonts w:eastAsia="Calibri"/>
          <w:b/>
          <w:bCs/>
        </w:rPr>
      </w:pPr>
      <w:r w:rsidRPr="00714079">
        <w:rPr>
          <w:b/>
          <w:bCs/>
        </w:rPr>
        <w:t xml:space="preserve">Table </w:t>
      </w:r>
      <w:r w:rsidRPr="00714079">
        <w:rPr>
          <w:b/>
          <w:bCs/>
          <w:rtl/>
        </w:rPr>
        <w:t>1</w:t>
      </w:r>
      <w:r w:rsidRPr="00714079">
        <w:rPr>
          <w:b/>
          <w:bCs/>
        </w:rPr>
        <w:t>:</w:t>
      </w:r>
      <w:r w:rsidRPr="00714079">
        <w:rPr>
          <w:rFonts w:eastAsia="Calibri"/>
          <w:b/>
          <w:bCs/>
        </w:rPr>
        <w:t xml:space="preserve"> Descriptive Statistics</w:t>
      </w:r>
    </w:p>
    <w:p w14:paraId="14F18836" w14:textId="77777777" w:rsidR="00A808EB" w:rsidRDefault="00A808EB" w:rsidP="00A808EB">
      <w:pPr>
        <w:jc w:val="center"/>
        <w:rPr>
          <w:lang w:bidi="ar-YE"/>
        </w:rPr>
      </w:pPr>
    </w:p>
    <w:tbl>
      <w:tblPr>
        <w:tblW w:w="4960" w:type="dxa"/>
        <w:jc w:val="center"/>
        <w:tblLook w:val="04A0" w:firstRow="1" w:lastRow="0" w:firstColumn="1" w:lastColumn="0" w:noHBand="0" w:noVBand="1"/>
      </w:tblPr>
      <w:tblGrid>
        <w:gridCol w:w="1033"/>
        <w:gridCol w:w="1017"/>
        <w:gridCol w:w="1466"/>
        <w:gridCol w:w="1366"/>
        <w:gridCol w:w="1366"/>
      </w:tblGrid>
      <w:tr w:rsidR="00A808EB" w:rsidRPr="003A3F36" w14:paraId="0A4495FA" w14:textId="77777777" w:rsidTr="005C1B0B">
        <w:trPr>
          <w:trHeight w:val="510"/>
          <w:jc w:val="center"/>
        </w:trPr>
        <w:tc>
          <w:tcPr>
            <w:tcW w:w="500" w:type="dxa"/>
            <w:tcBorders>
              <w:top w:val="single" w:sz="4" w:space="0" w:color="auto"/>
              <w:bottom w:val="single" w:sz="4" w:space="0" w:color="auto"/>
            </w:tcBorders>
            <w:shd w:val="clear" w:color="000000" w:fill="FFFFFF"/>
            <w:vAlign w:val="center"/>
            <w:hideMark/>
          </w:tcPr>
          <w:p w14:paraId="110340CF" w14:textId="77777777" w:rsidR="00A808EB" w:rsidRPr="00714079" w:rsidRDefault="00A808EB" w:rsidP="005C1B0B">
            <w:pPr>
              <w:rPr>
                <w:color w:val="000000"/>
                <w:sz w:val="20"/>
                <w:szCs w:val="20"/>
                <w:lang w:val="en-MY" w:eastAsia="en-MY"/>
              </w:rPr>
            </w:pPr>
            <w:r w:rsidRPr="00714079">
              <w:rPr>
                <w:color w:val="000000"/>
                <w:sz w:val="20"/>
                <w:szCs w:val="20"/>
                <w:lang w:val="en-MY" w:eastAsia="en-MY"/>
              </w:rPr>
              <w:t> </w:t>
            </w:r>
            <w:r w:rsidRPr="00714079">
              <w:rPr>
                <w:sz w:val="20"/>
                <w:szCs w:val="20"/>
              </w:rPr>
              <w:t>Variables</w:t>
            </w:r>
          </w:p>
        </w:tc>
        <w:tc>
          <w:tcPr>
            <w:tcW w:w="880" w:type="dxa"/>
            <w:tcBorders>
              <w:top w:val="single" w:sz="4" w:space="0" w:color="auto"/>
              <w:bottom w:val="single" w:sz="4" w:space="0" w:color="auto"/>
            </w:tcBorders>
            <w:shd w:val="clear" w:color="000000" w:fill="FFFFFF"/>
            <w:vAlign w:val="center"/>
            <w:hideMark/>
          </w:tcPr>
          <w:p w14:paraId="44D9F9B9"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Minimum</w:t>
            </w:r>
          </w:p>
        </w:tc>
        <w:tc>
          <w:tcPr>
            <w:tcW w:w="1260" w:type="dxa"/>
            <w:tcBorders>
              <w:top w:val="single" w:sz="4" w:space="0" w:color="auto"/>
              <w:bottom w:val="single" w:sz="4" w:space="0" w:color="auto"/>
            </w:tcBorders>
            <w:shd w:val="clear" w:color="000000" w:fill="FFFFFF"/>
            <w:vAlign w:val="center"/>
            <w:hideMark/>
          </w:tcPr>
          <w:p w14:paraId="794E14B5"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Maximum</w:t>
            </w:r>
          </w:p>
        </w:tc>
        <w:tc>
          <w:tcPr>
            <w:tcW w:w="1160" w:type="dxa"/>
            <w:tcBorders>
              <w:top w:val="single" w:sz="4" w:space="0" w:color="auto"/>
              <w:bottom w:val="single" w:sz="4" w:space="0" w:color="auto"/>
            </w:tcBorders>
            <w:shd w:val="clear" w:color="000000" w:fill="FFFFFF"/>
            <w:vAlign w:val="center"/>
            <w:hideMark/>
          </w:tcPr>
          <w:p w14:paraId="437D502D"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Mean</w:t>
            </w:r>
          </w:p>
        </w:tc>
        <w:tc>
          <w:tcPr>
            <w:tcW w:w="1160" w:type="dxa"/>
            <w:tcBorders>
              <w:top w:val="single" w:sz="4" w:space="0" w:color="auto"/>
              <w:bottom w:val="single" w:sz="4" w:space="0" w:color="auto"/>
            </w:tcBorders>
            <w:shd w:val="clear" w:color="000000" w:fill="FFFFFF"/>
            <w:vAlign w:val="center"/>
            <w:hideMark/>
          </w:tcPr>
          <w:p w14:paraId="3979A1E5"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Std. Deviation</w:t>
            </w:r>
          </w:p>
        </w:tc>
      </w:tr>
      <w:tr w:rsidR="00A808EB" w:rsidRPr="003A3F36" w14:paraId="42B2CB8B" w14:textId="77777777" w:rsidTr="005C1B0B">
        <w:trPr>
          <w:trHeight w:val="315"/>
          <w:jc w:val="center"/>
        </w:trPr>
        <w:tc>
          <w:tcPr>
            <w:tcW w:w="500" w:type="dxa"/>
            <w:tcBorders>
              <w:top w:val="single" w:sz="4" w:space="0" w:color="auto"/>
            </w:tcBorders>
            <w:shd w:val="clear" w:color="000000" w:fill="FFFFFF"/>
            <w:vAlign w:val="center"/>
            <w:hideMark/>
          </w:tcPr>
          <w:p w14:paraId="043A4BC0"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ROA</w:t>
            </w:r>
          </w:p>
        </w:tc>
        <w:tc>
          <w:tcPr>
            <w:tcW w:w="880" w:type="dxa"/>
            <w:tcBorders>
              <w:top w:val="single" w:sz="4" w:space="0" w:color="auto"/>
            </w:tcBorders>
            <w:shd w:val="clear" w:color="000000" w:fill="FFFFFF"/>
            <w:vAlign w:val="center"/>
            <w:hideMark/>
          </w:tcPr>
          <w:p w14:paraId="4B78B381"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-0.397</w:t>
            </w:r>
          </w:p>
        </w:tc>
        <w:tc>
          <w:tcPr>
            <w:tcW w:w="1260" w:type="dxa"/>
            <w:tcBorders>
              <w:top w:val="single" w:sz="4" w:space="0" w:color="auto"/>
            </w:tcBorders>
            <w:shd w:val="clear" w:color="000000" w:fill="FFFFFF"/>
            <w:vAlign w:val="center"/>
            <w:hideMark/>
          </w:tcPr>
          <w:p w14:paraId="708B42E3"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0.353</w:t>
            </w:r>
          </w:p>
        </w:tc>
        <w:tc>
          <w:tcPr>
            <w:tcW w:w="1160" w:type="dxa"/>
            <w:tcBorders>
              <w:top w:val="single" w:sz="4" w:space="0" w:color="auto"/>
            </w:tcBorders>
            <w:shd w:val="clear" w:color="000000" w:fill="FFFFFF"/>
            <w:vAlign w:val="center"/>
            <w:hideMark/>
          </w:tcPr>
          <w:p w14:paraId="2991F54E"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0.048</w:t>
            </w:r>
          </w:p>
        </w:tc>
        <w:tc>
          <w:tcPr>
            <w:tcW w:w="1160" w:type="dxa"/>
            <w:tcBorders>
              <w:top w:val="single" w:sz="4" w:space="0" w:color="auto"/>
            </w:tcBorders>
            <w:shd w:val="clear" w:color="000000" w:fill="FFFFFF"/>
            <w:vAlign w:val="center"/>
            <w:hideMark/>
          </w:tcPr>
          <w:p w14:paraId="5F7C681B"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0.138</w:t>
            </w:r>
          </w:p>
        </w:tc>
      </w:tr>
      <w:tr w:rsidR="00A808EB" w:rsidRPr="003A3F36" w14:paraId="30F25B16" w14:textId="77777777" w:rsidTr="005C1B0B">
        <w:trPr>
          <w:trHeight w:val="300"/>
          <w:jc w:val="center"/>
        </w:trPr>
        <w:tc>
          <w:tcPr>
            <w:tcW w:w="500" w:type="dxa"/>
            <w:shd w:val="clear" w:color="000000" w:fill="FFFFFF"/>
            <w:vAlign w:val="center"/>
            <w:hideMark/>
          </w:tcPr>
          <w:p w14:paraId="60377760"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ROE</w:t>
            </w:r>
          </w:p>
        </w:tc>
        <w:tc>
          <w:tcPr>
            <w:tcW w:w="880" w:type="dxa"/>
            <w:shd w:val="clear" w:color="000000" w:fill="FFFFFF"/>
            <w:vAlign w:val="center"/>
            <w:hideMark/>
          </w:tcPr>
          <w:p w14:paraId="4AEB7C96"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-0.529</w:t>
            </w:r>
          </w:p>
        </w:tc>
        <w:tc>
          <w:tcPr>
            <w:tcW w:w="1260" w:type="dxa"/>
            <w:shd w:val="clear" w:color="000000" w:fill="FFFFFF"/>
            <w:vAlign w:val="center"/>
            <w:hideMark/>
          </w:tcPr>
          <w:p w14:paraId="471750BF"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3.251</w:t>
            </w:r>
          </w:p>
        </w:tc>
        <w:tc>
          <w:tcPr>
            <w:tcW w:w="1160" w:type="dxa"/>
            <w:shd w:val="clear" w:color="000000" w:fill="FFFFFF"/>
            <w:vAlign w:val="center"/>
            <w:hideMark/>
          </w:tcPr>
          <w:p w14:paraId="64818973"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0.143</w:t>
            </w:r>
          </w:p>
        </w:tc>
        <w:tc>
          <w:tcPr>
            <w:tcW w:w="1160" w:type="dxa"/>
            <w:shd w:val="clear" w:color="000000" w:fill="FFFFFF"/>
            <w:vAlign w:val="center"/>
            <w:hideMark/>
          </w:tcPr>
          <w:p w14:paraId="5882E75A"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0.556</w:t>
            </w:r>
          </w:p>
        </w:tc>
      </w:tr>
      <w:tr w:rsidR="00A808EB" w:rsidRPr="003A3F36" w14:paraId="738BB34B" w14:textId="77777777" w:rsidTr="005C1B0B">
        <w:trPr>
          <w:trHeight w:val="300"/>
          <w:jc w:val="center"/>
        </w:trPr>
        <w:tc>
          <w:tcPr>
            <w:tcW w:w="500" w:type="dxa"/>
            <w:shd w:val="clear" w:color="000000" w:fill="FFFFFF"/>
            <w:vAlign w:val="center"/>
            <w:hideMark/>
          </w:tcPr>
          <w:p w14:paraId="5C9D2A57"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VAIC</w:t>
            </w:r>
          </w:p>
        </w:tc>
        <w:tc>
          <w:tcPr>
            <w:tcW w:w="880" w:type="dxa"/>
            <w:shd w:val="clear" w:color="000000" w:fill="FFFFFF"/>
            <w:vAlign w:val="center"/>
            <w:hideMark/>
          </w:tcPr>
          <w:p w14:paraId="146E3329"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-3.091</w:t>
            </w:r>
          </w:p>
        </w:tc>
        <w:tc>
          <w:tcPr>
            <w:tcW w:w="1260" w:type="dxa"/>
            <w:shd w:val="clear" w:color="000000" w:fill="FFFFFF"/>
            <w:vAlign w:val="center"/>
            <w:hideMark/>
          </w:tcPr>
          <w:p w14:paraId="62AD606B"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19.886</w:t>
            </w:r>
          </w:p>
        </w:tc>
        <w:tc>
          <w:tcPr>
            <w:tcW w:w="1160" w:type="dxa"/>
            <w:shd w:val="clear" w:color="000000" w:fill="FFFFFF"/>
            <w:vAlign w:val="center"/>
            <w:hideMark/>
          </w:tcPr>
          <w:p w14:paraId="3058CF60"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3.742</w:t>
            </w:r>
          </w:p>
        </w:tc>
        <w:tc>
          <w:tcPr>
            <w:tcW w:w="1160" w:type="dxa"/>
            <w:shd w:val="clear" w:color="000000" w:fill="FFFFFF"/>
            <w:vAlign w:val="center"/>
            <w:hideMark/>
          </w:tcPr>
          <w:p w14:paraId="5A185BEF"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4.550</w:t>
            </w:r>
          </w:p>
        </w:tc>
      </w:tr>
      <w:tr w:rsidR="00A808EB" w:rsidRPr="003A3F36" w14:paraId="11615417" w14:textId="77777777" w:rsidTr="005C1B0B">
        <w:trPr>
          <w:trHeight w:val="300"/>
          <w:jc w:val="center"/>
        </w:trPr>
        <w:tc>
          <w:tcPr>
            <w:tcW w:w="500" w:type="dxa"/>
            <w:shd w:val="clear" w:color="000000" w:fill="FFFFFF"/>
            <w:vAlign w:val="center"/>
            <w:hideMark/>
          </w:tcPr>
          <w:p w14:paraId="516A2B6C"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HCe</w:t>
            </w:r>
          </w:p>
        </w:tc>
        <w:tc>
          <w:tcPr>
            <w:tcW w:w="880" w:type="dxa"/>
            <w:shd w:val="clear" w:color="000000" w:fill="FFFFFF"/>
            <w:vAlign w:val="center"/>
            <w:hideMark/>
          </w:tcPr>
          <w:p w14:paraId="7110ACB7"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-1.491</w:t>
            </w:r>
          </w:p>
        </w:tc>
        <w:tc>
          <w:tcPr>
            <w:tcW w:w="1260" w:type="dxa"/>
            <w:shd w:val="clear" w:color="000000" w:fill="FFFFFF"/>
            <w:vAlign w:val="center"/>
            <w:hideMark/>
          </w:tcPr>
          <w:p w14:paraId="27BEEA8F"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18.729</w:t>
            </w:r>
          </w:p>
        </w:tc>
        <w:tc>
          <w:tcPr>
            <w:tcW w:w="1160" w:type="dxa"/>
            <w:shd w:val="clear" w:color="000000" w:fill="FFFFFF"/>
            <w:vAlign w:val="center"/>
            <w:hideMark/>
          </w:tcPr>
          <w:p w14:paraId="62393003"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3.107</w:t>
            </w:r>
          </w:p>
        </w:tc>
        <w:tc>
          <w:tcPr>
            <w:tcW w:w="1160" w:type="dxa"/>
            <w:shd w:val="clear" w:color="000000" w:fill="FFFFFF"/>
            <w:vAlign w:val="center"/>
            <w:hideMark/>
          </w:tcPr>
          <w:p w14:paraId="46F3C88B"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4.197</w:t>
            </w:r>
          </w:p>
        </w:tc>
      </w:tr>
      <w:tr w:rsidR="00A808EB" w:rsidRPr="003A3F36" w14:paraId="6AB9D202" w14:textId="77777777" w:rsidTr="005C1B0B">
        <w:trPr>
          <w:trHeight w:val="300"/>
          <w:jc w:val="center"/>
        </w:trPr>
        <w:tc>
          <w:tcPr>
            <w:tcW w:w="500" w:type="dxa"/>
            <w:shd w:val="clear" w:color="000000" w:fill="FFFFFF"/>
            <w:vAlign w:val="center"/>
            <w:hideMark/>
          </w:tcPr>
          <w:p w14:paraId="5DE3B6CB"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SCe</w:t>
            </w:r>
          </w:p>
        </w:tc>
        <w:tc>
          <w:tcPr>
            <w:tcW w:w="880" w:type="dxa"/>
            <w:shd w:val="clear" w:color="000000" w:fill="FFFFFF"/>
            <w:vAlign w:val="center"/>
            <w:hideMark/>
          </w:tcPr>
          <w:p w14:paraId="03E86BAE"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-3.349</w:t>
            </w:r>
          </w:p>
        </w:tc>
        <w:tc>
          <w:tcPr>
            <w:tcW w:w="1260" w:type="dxa"/>
            <w:shd w:val="clear" w:color="000000" w:fill="FFFFFF"/>
            <w:vAlign w:val="center"/>
            <w:hideMark/>
          </w:tcPr>
          <w:p w14:paraId="0677B533"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1.754</w:t>
            </w:r>
          </w:p>
        </w:tc>
        <w:tc>
          <w:tcPr>
            <w:tcW w:w="1160" w:type="dxa"/>
            <w:shd w:val="clear" w:color="000000" w:fill="FFFFFF"/>
            <w:vAlign w:val="center"/>
            <w:hideMark/>
          </w:tcPr>
          <w:p w14:paraId="396F27D7"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0.389</w:t>
            </w:r>
          </w:p>
        </w:tc>
        <w:tc>
          <w:tcPr>
            <w:tcW w:w="1160" w:type="dxa"/>
            <w:shd w:val="clear" w:color="000000" w:fill="FFFFFF"/>
            <w:vAlign w:val="center"/>
            <w:hideMark/>
          </w:tcPr>
          <w:p w14:paraId="7858336D"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0.808</w:t>
            </w:r>
          </w:p>
        </w:tc>
      </w:tr>
      <w:tr w:rsidR="00A808EB" w:rsidRPr="003A3F36" w14:paraId="4133F556" w14:textId="77777777" w:rsidTr="005C1B0B">
        <w:trPr>
          <w:trHeight w:val="300"/>
          <w:jc w:val="center"/>
        </w:trPr>
        <w:tc>
          <w:tcPr>
            <w:tcW w:w="500" w:type="dxa"/>
            <w:shd w:val="clear" w:color="000000" w:fill="FFFFFF"/>
            <w:vAlign w:val="center"/>
            <w:hideMark/>
          </w:tcPr>
          <w:p w14:paraId="75BA88D7"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CEe</w:t>
            </w:r>
          </w:p>
        </w:tc>
        <w:tc>
          <w:tcPr>
            <w:tcW w:w="880" w:type="dxa"/>
            <w:shd w:val="clear" w:color="000000" w:fill="FFFFFF"/>
            <w:vAlign w:val="center"/>
            <w:hideMark/>
          </w:tcPr>
          <w:p w14:paraId="10209273"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-0.255</w:t>
            </w:r>
          </w:p>
        </w:tc>
        <w:tc>
          <w:tcPr>
            <w:tcW w:w="1260" w:type="dxa"/>
            <w:shd w:val="clear" w:color="000000" w:fill="FFFFFF"/>
            <w:vAlign w:val="center"/>
            <w:hideMark/>
          </w:tcPr>
          <w:p w14:paraId="4C9F0072"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0.640</w:t>
            </w:r>
          </w:p>
        </w:tc>
        <w:tc>
          <w:tcPr>
            <w:tcW w:w="1160" w:type="dxa"/>
            <w:shd w:val="clear" w:color="000000" w:fill="FFFFFF"/>
            <w:vAlign w:val="center"/>
            <w:hideMark/>
          </w:tcPr>
          <w:p w14:paraId="0AE0F7E0"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0.246</w:t>
            </w:r>
          </w:p>
        </w:tc>
        <w:tc>
          <w:tcPr>
            <w:tcW w:w="1160" w:type="dxa"/>
            <w:shd w:val="clear" w:color="000000" w:fill="FFFFFF"/>
            <w:vAlign w:val="center"/>
            <w:hideMark/>
          </w:tcPr>
          <w:p w14:paraId="7391F369"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0.174</w:t>
            </w:r>
          </w:p>
        </w:tc>
      </w:tr>
      <w:tr w:rsidR="00A808EB" w:rsidRPr="003A3F36" w14:paraId="2CEB5D56" w14:textId="77777777" w:rsidTr="005C1B0B">
        <w:trPr>
          <w:trHeight w:val="300"/>
          <w:jc w:val="center"/>
        </w:trPr>
        <w:tc>
          <w:tcPr>
            <w:tcW w:w="500" w:type="dxa"/>
            <w:shd w:val="clear" w:color="000000" w:fill="FFFFFF"/>
            <w:vAlign w:val="center"/>
            <w:hideMark/>
          </w:tcPr>
          <w:p w14:paraId="0157B731"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Size</w:t>
            </w:r>
          </w:p>
        </w:tc>
        <w:tc>
          <w:tcPr>
            <w:tcW w:w="880" w:type="dxa"/>
            <w:shd w:val="clear" w:color="000000" w:fill="FFFFFF"/>
            <w:vAlign w:val="center"/>
            <w:hideMark/>
          </w:tcPr>
          <w:p w14:paraId="1D1B8934"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2,154,569</w:t>
            </w:r>
          </w:p>
        </w:tc>
        <w:tc>
          <w:tcPr>
            <w:tcW w:w="1260" w:type="dxa"/>
            <w:shd w:val="clear" w:color="000000" w:fill="FFFFFF"/>
            <w:vAlign w:val="center"/>
            <w:hideMark/>
          </w:tcPr>
          <w:p w14:paraId="446B3E6C"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23,885,781,000</w:t>
            </w:r>
          </w:p>
        </w:tc>
        <w:tc>
          <w:tcPr>
            <w:tcW w:w="1160" w:type="dxa"/>
            <w:shd w:val="clear" w:color="000000" w:fill="FFFFFF"/>
            <w:vAlign w:val="center"/>
            <w:hideMark/>
          </w:tcPr>
          <w:p w14:paraId="614692DB"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1,265,868,027</w:t>
            </w:r>
          </w:p>
        </w:tc>
        <w:tc>
          <w:tcPr>
            <w:tcW w:w="1160" w:type="dxa"/>
            <w:shd w:val="clear" w:color="000000" w:fill="FFFFFF"/>
            <w:vAlign w:val="center"/>
            <w:hideMark/>
          </w:tcPr>
          <w:p w14:paraId="6B7CC701"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4,230,917,437</w:t>
            </w:r>
          </w:p>
        </w:tc>
      </w:tr>
      <w:tr w:rsidR="00A808EB" w:rsidRPr="003A3F36" w14:paraId="5FEF9F9C" w14:textId="77777777" w:rsidTr="005C1B0B">
        <w:trPr>
          <w:trHeight w:val="300"/>
          <w:jc w:val="center"/>
        </w:trPr>
        <w:tc>
          <w:tcPr>
            <w:tcW w:w="500" w:type="dxa"/>
            <w:tcBorders>
              <w:bottom w:val="single" w:sz="4" w:space="0" w:color="auto"/>
            </w:tcBorders>
            <w:shd w:val="clear" w:color="000000" w:fill="FFFFFF"/>
            <w:vAlign w:val="center"/>
            <w:hideMark/>
          </w:tcPr>
          <w:p w14:paraId="5C687C57"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Lev</w:t>
            </w:r>
          </w:p>
        </w:tc>
        <w:tc>
          <w:tcPr>
            <w:tcW w:w="880" w:type="dxa"/>
            <w:tcBorders>
              <w:bottom w:val="single" w:sz="4" w:space="0" w:color="auto"/>
            </w:tcBorders>
            <w:shd w:val="clear" w:color="000000" w:fill="FFFFFF"/>
            <w:vAlign w:val="center"/>
            <w:hideMark/>
          </w:tcPr>
          <w:p w14:paraId="2F76F61D"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0.024</w:t>
            </w:r>
          </w:p>
        </w:tc>
        <w:tc>
          <w:tcPr>
            <w:tcW w:w="1260" w:type="dxa"/>
            <w:tcBorders>
              <w:bottom w:val="single" w:sz="4" w:space="0" w:color="auto"/>
            </w:tcBorders>
            <w:shd w:val="clear" w:color="000000" w:fill="FFFFFF"/>
            <w:vAlign w:val="center"/>
            <w:hideMark/>
          </w:tcPr>
          <w:p w14:paraId="01CC8E94"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8.219</w:t>
            </w:r>
          </w:p>
        </w:tc>
        <w:tc>
          <w:tcPr>
            <w:tcW w:w="1160" w:type="dxa"/>
            <w:tcBorders>
              <w:bottom w:val="single" w:sz="4" w:space="0" w:color="auto"/>
            </w:tcBorders>
            <w:shd w:val="clear" w:color="000000" w:fill="FFFFFF"/>
            <w:vAlign w:val="center"/>
            <w:hideMark/>
          </w:tcPr>
          <w:p w14:paraId="1F8687A7"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0.696</w:t>
            </w:r>
          </w:p>
        </w:tc>
        <w:tc>
          <w:tcPr>
            <w:tcW w:w="1160" w:type="dxa"/>
            <w:tcBorders>
              <w:bottom w:val="single" w:sz="4" w:space="0" w:color="auto"/>
            </w:tcBorders>
            <w:shd w:val="clear" w:color="000000" w:fill="FFFFFF"/>
            <w:vAlign w:val="center"/>
            <w:hideMark/>
          </w:tcPr>
          <w:p w14:paraId="070EDAE1" w14:textId="77777777" w:rsidR="00A808EB" w:rsidRPr="00714079" w:rsidRDefault="00A808EB" w:rsidP="005C1B0B">
            <w:pPr>
              <w:jc w:val="center"/>
              <w:rPr>
                <w:color w:val="000000"/>
                <w:sz w:val="20"/>
                <w:szCs w:val="20"/>
                <w:lang w:val="en-MY" w:eastAsia="en-MY"/>
              </w:rPr>
            </w:pPr>
            <w:r w:rsidRPr="00714079">
              <w:rPr>
                <w:color w:val="000000"/>
                <w:sz w:val="20"/>
                <w:szCs w:val="20"/>
                <w:lang w:val="en-MY" w:eastAsia="en-MY"/>
              </w:rPr>
              <w:t>1.364</w:t>
            </w:r>
          </w:p>
        </w:tc>
      </w:tr>
    </w:tbl>
    <w:p w14:paraId="06CB1485" w14:textId="77777777" w:rsidR="00A808EB" w:rsidRDefault="00A808EB" w:rsidP="00A808EB">
      <w:pPr>
        <w:jc w:val="both"/>
        <w:rPr>
          <w:lang w:bidi="ar-YE"/>
        </w:rPr>
      </w:pPr>
    </w:p>
    <w:p w14:paraId="37DED48F" w14:textId="77777777" w:rsidR="00A808EB" w:rsidRDefault="00A808EB" w:rsidP="00A808EB">
      <w:pPr>
        <w:spacing w:after="240"/>
        <w:jc w:val="both"/>
        <w:rPr>
          <w:lang w:bidi="ar-YE"/>
        </w:rPr>
      </w:pPr>
      <w:r w:rsidRPr="00D51718">
        <w:rPr>
          <w:lang w:bidi="ar-YE"/>
        </w:rPr>
        <w:tab/>
      </w:r>
      <w:bookmarkEnd w:id="1"/>
    </w:p>
    <w:p w14:paraId="7A8D4C29" w14:textId="77777777" w:rsidR="00A808EB" w:rsidRPr="007462D0" w:rsidRDefault="00A808EB" w:rsidP="00A808EB">
      <w:pPr>
        <w:spacing w:after="240"/>
        <w:ind w:firstLine="720"/>
        <w:jc w:val="both"/>
        <w:rPr>
          <w:lang w:bidi="ar-YE"/>
        </w:rPr>
      </w:pPr>
      <w:r w:rsidRPr="00D51718">
        <w:t>Prior to running the regressions, correlation tests were performed on the variables of each of the regressions. Table 2 presents the results of the correlation tests for the variables in the first regression model on VAIC and FP.</w:t>
      </w:r>
    </w:p>
    <w:p w14:paraId="19AFB569" w14:textId="77777777" w:rsidR="00A808EB" w:rsidRPr="005C097D" w:rsidRDefault="00A808EB" w:rsidP="00A808EB">
      <w:pPr>
        <w:rPr>
          <w:color w:val="FF0000"/>
        </w:rPr>
      </w:pPr>
    </w:p>
    <w:p w14:paraId="04CF4202" w14:textId="77777777" w:rsidR="00A808EB" w:rsidRDefault="00A808EB" w:rsidP="00A808EB">
      <w:pPr>
        <w:pStyle w:val="Caption"/>
        <w:tabs>
          <w:tab w:val="left" w:pos="709"/>
        </w:tabs>
        <w:rPr>
          <w:rFonts w:cs="Times New Roman"/>
        </w:rPr>
      </w:pPr>
    </w:p>
    <w:p w14:paraId="1E23F76F" w14:textId="77777777" w:rsidR="00A808EB" w:rsidRPr="00714079" w:rsidRDefault="00A808EB" w:rsidP="00A808EB">
      <w:pPr>
        <w:pStyle w:val="Caption"/>
        <w:tabs>
          <w:tab w:val="left" w:pos="709"/>
        </w:tabs>
        <w:rPr>
          <w:rFonts w:eastAsia="Calibri" w:cs="Times New Roman"/>
          <w:b/>
          <w:bCs/>
          <w:sz w:val="20"/>
          <w:szCs w:val="20"/>
          <w:lang w:val="en-MY"/>
        </w:rPr>
      </w:pPr>
      <w:r w:rsidRPr="00714079">
        <w:rPr>
          <w:rFonts w:cs="Times New Roman"/>
          <w:b/>
          <w:bCs/>
        </w:rPr>
        <w:t>Table 2:</w:t>
      </w:r>
      <w:r w:rsidRPr="00714079">
        <w:rPr>
          <w:rFonts w:eastAsia="Calibri" w:cs="Times New Roman"/>
          <w:b/>
          <w:bCs/>
          <w:lang w:val="en-MY"/>
        </w:rPr>
        <w:t xml:space="preserve"> Pearson Correlation Results for Regression 1 Variables</w:t>
      </w:r>
    </w:p>
    <w:p w14:paraId="64D81358" w14:textId="77777777" w:rsidR="00A808EB" w:rsidRPr="005C097D" w:rsidRDefault="00A808EB" w:rsidP="00A808EB">
      <w:pPr>
        <w:rPr>
          <w:lang w:val="en-MY"/>
        </w:rPr>
      </w:pPr>
    </w:p>
    <w:tbl>
      <w:tblPr>
        <w:tblW w:w="5328" w:type="dxa"/>
        <w:jc w:val="center"/>
        <w:tblLook w:val="04A0" w:firstRow="1" w:lastRow="0" w:firstColumn="1" w:lastColumn="0" w:noHBand="0" w:noVBand="1"/>
      </w:tblPr>
      <w:tblGrid>
        <w:gridCol w:w="777"/>
        <w:gridCol w:w="850"/>
        <w:gridCol w:w="808"/>
        <w:gridCol w:w="808"/>
        <w:gridCol w:w="808"/>
        <w:gridCol w:w="1277"/>
      </w:tblGrid>
      <w:tr w:rsidR="00A808EB" w:rsidRPr="00714079" w14:paraId="372E271D" w14:textId="77777777" w:rsidTr="005C1B0B">
        <w:trPr>
          <w:trHeight w:val="315"/>
          <w:jc w:val="center"/>
        </w:trPr>
        <w:tc>
          <w:tcPr>
            <w:tcW w:w="5328" w:type="dxa"/>
            <w:gridSpan w:val="6"/>
            <w:tcBorders>
              <w:top w:val="single" w:sz="4" w:space="0" w:color="auto"/>
              <w:bottom w:val="single" w:sz="4" w:space="0" w:color="auto"/>
            </w:tcBorders>
            <w:shd w:val="clear" w:color="auto" w:fill="auto"/>
            <w:vAlign w:val="center"/>
            <w:hideMark/>
          </w:tcPr>
          <w:p w14:paraId="506B15BF" w14:textId="77777777" w:rsidR="00A808EB" w:rsidRPr="00714079" w:rsidRDefault="00A808EB" w:rsidP="005C1B0B">
            <w:pPr>
              <w:tabs>
                <w:tab w:val="left" w:pos="709"/>
              </w:tabs>
              <w:jc w:val="center"/>
              <w:rPr>
                <w:b/>
                <w:bCs/>
                <w:color w:val="000000"/>
                <w:sz w:val="20"/>
                <w:szCs w:val="20"/>
                <w:lang w:val="en-MY" w:eastAsia="en-MY"/>
              </w:rPr>
            </w:pPr>
            <w:r w:rsidRPr="00714079">
              <w:rPr>
                <w:b/>
                <w:bCs/>
                <w:color w:val="000000"/>
                <w:sz w:val="20"/>
                <w:szCs w:val="20"/>
                <w:lang w:val="en-MY" w:eastAsia="en-MY"/>
              </w:rPr>
              <w:t>Correlations</w:t>
            </w:r>
          </w:p>
        </w:tc>
      </w:tr>
      <w:tr w:rsidR="00A808EB" w:rsidRPr="00714079" w14:paraId="5A87290D" w14:textId="77777777" w:rsidTr="005C1B0B">
        <w:trPr>
          <w:trHeight w:val="330"/>
          <w:jc w:val="center"/>
        </w:trPr>
        <w:tc>
          <w:tcPr>
            <w:tcW w:w="777" w:type="dxa"/>
            <w:tcBorders>
              <w:top w:val="single" w:sz="4" w:space="0" w:color="auto"/>
              <w:bottom w:val="single" w:sz="4" w:space="0" w:color="auto"/>
            </w:tcBorders>
            <w:shd w:val="clear" w:color="auto" w:fill="auto"/>
            <w:vAlign w:val="bottom"/>
            <w:hideMark/>
          </w:tcPr>
          <w:p w14:paraId="009F5E81" w14:textId="77777777" w:rsidR="00A808EB" w:rsidRPr="00714079" w:rsidRDefault="00A808EB" w:rsidP="005C1B0B">
            <w:pPr>
              <w:tabs>
                <w:tab w:val="left" w:pos="709"/>
              </w:tabs>
              <w:jc w:val="center"/>
              <w:rPr>
                <w:color w:val="000000"/>
                <w:sz w:val="20"/>
                <w:szCs w:val="20"/>
                <w:lang w:val="en-MY" w:eastAsia="en-MY"/>
              </w:rPr>
            </w:pPr>
          </w:p>
        </w:tc>
        <w:tc>
          <w:tcPr>
            <w:tcW w:w="850" w:type="dxa"/>
            <w:tcBorders>
              <w:top w:val="single" w:sz="4" w:space="0" w:color="auto"/>
              <w:bottom w:val="single" w:sz="4" w:space="0" w:color="auto"/>
            </w:tcBorders>
            <w:shd w:val="clear" w:color="auto" w:fill="auto"/>
            <w:vAlign w:val="bottom"/>
            <w:hideMark/>
          </w:tcPr>
          <w:p w14:paraId="7CF91B9B"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ROA</w:t>
            </w:r>
          </w:p>
        </w:tc>
        <w:tc>
          <w:tcPr>
            <w:tcW w:w="808" w:type="dxa"/>
            <w:tcBorders>
              <w:top w:val="single" w:sz="4" w:space="0" w:color="auto"/>
              <w:bottom w:val="single" w:sz="4" w:space="0" w:color="auto"/>
            </w:tcBorders>
            <w:shd w:val="clear" w:color="auto" w:fill="auto"/>
            <w:vAlign w:val="bottom"/>
            <w:hideMark/>
          </w:tcPr>
          <w:p w14:paraId="7BA4F19B"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ROE</w:t>
            </w:r>
          </w:p>
        </w:tc>
        <w:tc>
          <w:tcPr>
            <w:tcW w:w="808" w:type="dxa"/>
            <w:tcBorders>
              <w:top w:val="single" w:sz="4" w:space="0" w:color="auto"/>
              <w:bottom w:val="single" w:sz="4" w:space="0" w:color="auto"/>
            </w:tcBorders>
            <w:shd w:val="clear" w:color="auto" w:fill="auto"/>
            <w:vAlign w:val="bottom"/>
            <w:hideMark/>
          </w:tcPr>
          <w:p w14:paraId="01D5CD0F"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VAIC</w:t>
            </w:r>
          </w:p>
        </w:tc>
        <w:tc>
          <w:tcPr>
            <w:tcW w:w="808" w:type="dxa"/>
            <w:tcBorders>
              <w:top w:val="single" w:sz="4" w:space="0" w:color="auto"/>
              <w:bottom w:val="single" w:sz="4" w:space="0" w:color="auto"/>
            </w:tcBorders>
            <w:shd w:val="clear" w:color="auto" w:fill="auto"/>
            <w:vAlign w:val="bottom"/>
            <w:hideMark/>
          </w:tcPr>
          <w:p w14:paraId="022874C5"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SIZE</w:t>
            </w:r>
          </w:p>
        </w:tc>
        <w:tc>
          <w:tcPr>
            <w:tcW w:w="1277" w:type="dxa"/>
            <w:tcBorders>
              <w:top w:val="single" w:sz="4" w:space="0" w:color="auto"/>
              <w:bottom w:val="single" w:sz="4" w:space="0" w:color="auto"/>
            </w:tcBorders>
            <w:shd w:val="clear" w:color="auto" w:fill="auto"/>
            <w:vAlign w:val="bottom"/>
            <w:hideMark/>
          </w:tcPr>
          <w:p w14:paraId="65146582"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LEV</w:t>
            </w:r>
          </w:p>
        </w:tc>
      </w:tr>
      <w:tr w:rsidR="00A808EB" w:rsidRPr="00714079" w14:paraId="6D395FFF" w14:textId="77777777" w:rsidTr="005C1B0B">
        <w:trPr>
          <w:trHeight w:val="315"/>
          <w:jc w:val="center"/>
        </w:trPr>
        <w:tc>
          <w:tcPr>
            <w:tcW w:w="777" w:type="dxa"/>
            <w:tcBorders>
              <w:top w:val="single" w:sz="4" w:space="0" w:color="auto"/>
            </w:tcBorders>
            <w:shd w:val="clear" w:color="auto" w:fill="auto"/>
            <w:hideMark/>
          </w:tcPr>
          <w:p w14:paraId="0E3EC173"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ROA</w:t>
            </w:r>
          </w:p>
        </w:tc>
        <w:tc>
          <w:tcPr>
            <w:tcW w:w="850" w:type="dxa"/>
            <w:tcBorders>
              <w:top w:val="single" w:sz="4" w:space="0" w:color="auto"/>
            </w:tcBorders>
            <w:shd w:val="clear" w:color="auto" w:fill="auto"/>
            <w:noWrap/>
            <w:vAlign w:val="center"/>
            <w:hideMark/>
          </w:tcPr>
          <w:p w14:paraId="18901792" w14:textId="77777777" w:rsidR="00A808EB" w:rsidRPr="00714079" w:rsidRDefault="00A808EB" w:rsidP="005C1B0B">
            <w:pPr>
              <w:tabs>
                <w:tab w:val="left" w:pos="709"/>
              </w:tabs>
              <w:jc w:val="center"/>
              <w:rPr>
                <w:b/>
                <w:bCs/>
                <w:color w:val="000000"/>
                <w:sz w:val="20"/>
                <w:szCs w:val="20"/>
                <w:lang w:val="en-MY" w:eastAsia="en-MY"/>
              </w:rPr>
            </w:pPr>
            <w:r w:rsidRPr="00714079">
              <w:rPr>
                <w:b/>
                <w:bCs/>
                <w:color w:val="000000"/>
                <w:sz w:val="20"/>
                <w:szCs w:val="20"/>
                <w:lang w:val="en-MY" w:eastAsia="en-MY"/>
              </w:rPr>
              <w:t>1</w:t>
            </w:r>
          </w:p>
        </w:tc>
        <w:tc>
          <w:tcPr>
            <w:tcW w:w="808" w:type="dxa"/>
            <w:tcBorders>
              <w:top w:val="single" w:sz="4" w:space="0" w:color="auto"/>
            </w:tcBorders>
            <w:shd w:val="clear" w:color="auto" w:fill="auto"/>
            <w:noWrap/>
            <w:vAlign w:val="center"/>
            <w:hideMark/>
          </w:tcPr>
          <w:p w14:paraId="6AE4F7C1" w14:textId="77777777" w:rsidR="00A808EB" w:rsidRPr="00714079" w:rsidRDefault="00A808EB" w:rsidP="005C1B0B">
            <w:pPr>
              <w:tabs>
                <w:tab w:val="left" w:pos="709"/>
              </w:tabs>
              <w:jc w:val="center"/>
              <w:rPr>
                <w:color w:val="000000"/>
                <w:sz w:val="20"/>
                <w:szCs w:val="20"/>
                <w:lang w:val="en-MY" w:eastAsia="en-MY"/>
              </w:rPr>
            </w:pPr>
          </w:p>
        </w:tc>
        <w:tc>
          <w:tcPr>
            <w:tcW w:w="808" w:type="dxa"/>
            <w:tcBorders>
              <w:top w:val="single" w:sz="4" w:space="0" w:color="auto"/>
            </w:tcBorders>
            <w:shd w:val="clear" w:color="auto" w:fill="auto"/>
            <w:noWrap/>
            <w:vAlign w:val="center"/>
            <w:hideMark/>
          </w:tcPr>
          <w:p w14:paraId="6D019E66" w14:textId="77777777" w:rsidR="00A808EB" w:rsidRPr="00714079" w:rsidRDefault="00A808EB" w:rsidP="005C1B0B">
            <w:pPr>
              <w:tabs>
                <w:tab w:val="left" w:pos="709"/>
              </w:tabs>
              <w:jc w:val="center"/>
              <w:rPr>
                <w:color w:val="000000"/>
                <w:sz w:val="20"/>
                <w:szCs w:val="20"/>
                <w:lang w:val="en-MY" w:eastAsia="en-MY"/>
              </w:rPr>
            </w:pPr>
          </w:p>
        </w:tc>
        <w:tc>
          <w:tcPr>
            <w:tcW w:w="808" w:type="dxa"/>
            <w:tcBorders>
              <w:top w:val="single" w:sz="4" w:space="0" w:color="auto"/>
            </w:tcBorders>
            <w:shd w:val="clear" w:color="auto" w:fill="auto"/>
            <w:noWrap/>
            <w:vAlign w:val="center"/>
            <w:hideMark/>
          </w:tcPr>
          <w:p w14:paraId="72268F7C" w14:textId="77777777" w:rsidR="00A808EB" w:rsidRPr="00714079" w:rsidRDefault="00A808EB" w:rsidP="005C1B0B">
            <w:pPr>
              <w:tabs>
                <w:tab w:val="left" w:pos="709"/>
              </w:tabs>
              <w:jc w:val="center"/>
              <w:rPr>
                <w:color w:val="000000"/>
                <w:sz w:val="20"/>
                <w:szCs w:val="20"/>
                <w:lang w:val="en-MY" w:eastAsia="en-MY"/>
              </w:rPr>
            </w:pPr>
          </w:p>
        </w:tc>
        <w:tc>
          <w:tcPr>
            <w:tcW w:w="1277" w:type="dxa"/>
            <w:tcBorders>
              <w:top w:val="single" w:sz="4" w:space="0" w:color="auto"/>
            </w:tcBorders>
            <w:shd w:val="clear" w:color="auto" w:fill="auto"/>
            <w:noWrap/>
            <w:vAlign w:val="center"/>
            <w:hideMark/>
          </w:tcPr>
          <w:p w14:paraId="4C5B7F8F" w14:textId="77777777" w:rsidR="00A808EB" w:rsidRPr="00714079" w:rsidRDefault="00A808EB" w:rsidP="005C1B0B">
            <w:pPr>
              <w:tabs>
                <w:tab w:val="left" w:pos="709"/>
              </w:tabs>
              <w:jc w:val="center"/>
              <w:rPr>
                <w:color w:val="000000"/>
                <w:sz w:val="20"/>
                <w:szCs w:val="20"/>
                <w:lang w:val="en-MY" w:eastAsia="en-MY"/>
              </w:rPr>
            </w:pPr>
          </w:p>
        </w:tc>
      </w:tr>
      <w:tr w:rsidR="00A808EB" w:rsidRPr="00714079" w14:paraId="63BBD361" w14:textId="77777777" w:rsidTr="005C1B0B">
        <w:trPr>
          <w:trHeight w:val="300"/>
          <w:jc w:val="center"/>
        </w:trPr>
        <w:tc>
          <w:tcPr>
            <w:tcW w:w="777" w:type="dxa"/>
            <w:vMerge w:val="restart"/>
            <w:shd w:val="clear" w:color="auto" w:fill="auto"/>
            <w:hideMark/>
          </w:tcPr>
          <w:p w14:paraId="4D24ABAD" w14:textId="77777777" w:rsidR="00A808EB" w:rsidRDefault="00A808EB" w:rsidP="005C1B0B">
            <w:pPr>
              <w:tabs>
                <w:tab w:val="left" w:pos="709"/>
              </w:tabs>
              <w:jc w:val="center"/>
              <w:rPr>
                <w:color w:val="000000"/>
                <w:sz w:val="20"/>
                <w:szCs w:val="20"/>
                <w:lang w:val="en-MY" w:eastAsia="en-MY"/>
              </w:rPr>
            </w:pPr>
          </w:p>
          <w:p w14:paraId="12DAF75F"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ROE</w:t>
            </w:r>
          </w:p>
        </w:tc>
        <w:tc>
          <w:tcPr>
            <w:tcW w:w="850" w:type="dxa"/>
            <w:shd w:val="clear" w:color="auto" w:fill="auto"/>
            <w:noWrap/>
            <w:vAlign w:val="center"/>
            <w:hideMark/>
          </w:tcPr>
          <w:p w14:paraId="7550C416" w14:textId="77777777" w:rsidR="00A808EB" w:rsidRPr="008D7BEC" w:rsidRDefault="00A808EB" w:rsidP="005C1B0B">
            <w:pPr>
              <w:tabs>
                <w:tab w:val="left" w:pos="709"/>
              </w:tabs>
              <w:contextualSpacing/>
              <w:jc w:val="center"/>
              <w:rPr>
                <w:b/>
                <w:bCs/>
                <w:color w:val="000000"/>
                <w:sz w:val="20"/>
                <w:szCs w:val="20"/>
                <w:lang w:val="en-MY" w:eastAsia="en-MY"/>
              </w:rPr>
            </w:pPr>
          </w:p>
          <w:p w14:paraId="367F7242"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0.933</w:t>
            </w:r>
            <w:r w:rsidRPr="008D7BEC">
              <w:rPr>
                <w:b/>
                <w:bCs/>
                <w:color w:val="000000"/>
                <w:sz w:val="20"/>
                <w:szCs w:val="20"/>
                <w:vertAlign w:val="superscript"/>
                <w:lang w:val="en-MY" w:eastAsia="en-MY"/>
              </w:rPr>
              <w:t>**</w:t>
            </w:r>
          </w:p>
        </w:tc>
        <w:tc>
          <w:tcPr>
            <w:tcW w:w="808" w:type="dxa"/>
            <w:shd w:val="clear" w:color="auto" w:fill="auto"/>
            <w:noWrap/>
            <w:vAlign w:val="center"/>
            <w:hideMark/>
          </w:tcPr>
          <w:p w14:paraId="524F27F7" w14:textId="77777777" w:rsidR="00A808EB" w:rsidRPr="008D7BEC" w:rsidRDefault="00A808EB" w:rsidP="005C1B0B">
            <w:pPr>
              <w:tabs>
                <w:tab w:val="left" w:pos="709"/>
              </w:tabs>
              <w:contextualSpacing/>
              <w:jc w:val="center"/>
              <w:rPr>
                <w:color w:val="000000"/>
                <w:sz w:val="20"/>
                <w:szCs w:val="20"/>
                <w:lang w:val="en-MY" w:eastAsia="en-MY"/>
              </w:rPr>
            </w:pPr>
          </w:p>
          <w:p w14:paraId="41BD0E57" w14:textId="77777777" w:rsidR="00A808EB" w:rsidRPr="008D7BEC" w:rsidRDefault="00A808EB" w:rsidP="005C1B0B">
            <w:pPr>
              <w:tabs>
                <w:tab w:val="left" w:pos="709"/>
              </w:tabs>
              <w:contextualSpacing/>
              <w:jc w:val="center"/>
              <w:rPr>
                <w:color w:val="000000"/>
                <w:sz w:val="20"/>
                <w:szCs w:val="20"/>
                <w:lang w:val="en-MY" w:eastAsia="en-MY"/>
              </w:rPr>
            </w:pPr>
            <w:r w:rsidRPr="008D7BEC">
              <w:rPr>
                <w:color w:val="000000"/>
                <w:sz w:val="20"/>
                <w:szCs w:val="20"/>
                <w:lang w:val="en-MY" w:eastAsia="en-MY"/>
              </w:rPr>
              <w:t>1</w:t>
            </w:r>
          </w:p>
        </w:tc>
        <w:tc>
          <w:tcPr>
            <w:tcW w:w="808" w:type="dxa"/>
            <w:shd w:val="clear" w:color="auto" w:fill="auto"/>
            <w:noWrap/>
            <w:vAlign w:val="center"/>
            <w:hideMark/>
          </w:tcPr>
          <w:p w14:paraId="0CDBF0C2" w14:textId="77777777" w:rsidR="00A808EB" w:rsidRPr="008D7BEC" w:rsidRDefault="00A808EB" w:rsidP="005C1B0B">
            <w:pPr>
              <w:tabs>
                <w:tab w:val="left" w:pos="709"/>
              </w:tabs>
              <w:contextualSpacing/>
              <w:jc w:val="center"/>
              <w:rPr>
                <w:color w:val="000000"/>
                <w:sz w:val="20"/>
                <w:szCs w:val="20"/>
                <w:lang w:val="en-MY" w:eastAsia="en-MY"/>
              </w:rPr>
            </w:pPr>
          </w:p>
        </w:tc>
        <w:tc>
          <w:tcPr>
            <w:tcW w:w="808" w:type="dxa"/>
            <w:shd w:val="clear" w:color="auto" w:fill="auto"/>
            <w:noWrap/>
            <w:vAlign w:val="center"/>
            <w:hideMark/>
          </w:tcPr>
          <w:p w14:paraId="6CAFEB16" w14:textId="77777777" w:rsidR="00A808EB" w:rsidRPr="008D7BEC" w:rsidRDefault="00A808EB" w:rsidP="005C1B0B">
            <w:pPr>
              <w:tabs>
                <w:tab w:val="left" w:pos="709"/>
              </w:tabs>
              <w:contextualSpacing/>
              <w:jc w:val="center"/>
              <w:rPr>
                <w:color w:val="000000"/>
                <w:sz w:val="20"/>
                <w:szCs w:val="20"/>
                <w:lang w:val="en-MY" w:eastAsia="en-MY"/>
              </w:rPr>
            </w:pPr>
          </w:p>
        </w:tc>
        <w:tc>
          <w:tcPr>
            <w:tcW w:w="1277" w:type="dxa"/>
            <w:shd w:val="clear" w:color="auto" w:fill="auto"/>
            <w:noWrap/>
            <w:vAlign w:val="center"/>
            <w:hideMark/>
          </w:tcPr>
          <w:p w14:paraId="33DA9611" w14:textId="77777777" w:rsidR="00A808EB" w:rsidRPr="00714079" w:rsidRDefault="00A808EB" w:rsidP="005C1B0B">
            <w:pPr>
              <w:tabs>
                <w:tab w:val="left" w:pos="709"/>
              </w:tabs>
              <w:contextualSpacing/>
              <w:jc w:val="center"/>
              <w:rPr>
                <w:color w:val="000000"/>
                <w:sz w:val="20"/>
                <w:szCs w:val="20"/>
                <w:lang w:val="en-MY" w:eastAsia="en-MY"/>
              </w:rPr>
            </w:pPr>
          </w:p>
        </w:tc>
      </w:tr>
      <w:tr w:rsidR="00A808EB" w:rsidRPr="00714079" w14:paraId="18B7C937" w14:textId="77777777" w:rsidTr="005C1B0B">
        <w:trPr>
          <w:trHeight w:val="300"/>
          <w:jc w:val="center"/>
        </w:trPr>
        <w:tc>
          <w:tcPr>
            <w:tcW w:w="777" w:type="dxa"/>
            <w:vMerge/>
            <w:vAlign w:val="center"/>
            <w:hideMark/>
          </w:tcPr>
          <w:p w14:paraId="37A91BD6" w14:textId="77777777" w:rsidR="00A808EB" w:rsidRPr="00714079" w:rsidRDefault="00A808EB" w:rsidP="005C1B0B">
            <w:pPr>
              <w:tabs>
                <w:tab w:val="left" w:pos="709"/>
              </w:tabs>
              <w:jc w:val="center"/>
              <w:rPr>
                <w:color w:val="000000"/>
                <w:sz w:val="20"/>
                <w:szCs w:val="20"/>
                <w:lang w:val="en-MY" w:eastAsia="en-MY"/>
              </w:rPr>
            </w:pPr>
          </w:p>
        </w:tc>
        <w:tc>
          <w:tcPr>
            <w:tcW w:w="850" w:type="dxa"/>
            <w:shd w:val="clear" w:color="auto" w:fill="auto"/>
            <w:noWrap/>
            <w:vAlign w:val="center"/>
            <w:hideMark/>
          </w:tcPr>
          <w:p w14:paraId="6D9DB449"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0.000</w:t>
            </w:r>
          </w:p>
        </w:tc>
        <w:tc>
          <w:tcPr>
            <w:tcW w:w="808" w:type="dxa"/>
            <w:shd w:val="clear" w:color="auto" w:fill="auto"/>
            <w:vAlign w:val="center"/>
            <w:hideMark/>
          </w:tcPr>
          <w:p w14:paraId="561A42AA" w14:textId="77777777" w:rsidR="00A808EB" w:rsidRPr="008D7BEC" w:rsidRDefault="00A808EB" w:rsidP="005C1B0B">
            <w:pPr>
              <w:tabs>
                <w:tab w:val="left" w:pos="709"/>
              </w:tabs>
              <w:contextualSpacing/>
              <w:jc w:val="center"/>
              <w:rPr>
                <w:color w:val="000000"/>
                <w:sz w:val="20"/>
                <w:szCs w:val="20"/>
                <w:lang w:val="en-MY" w:eastAsia="en-MY"/>
              </w:rPr>
            </w:pPr>
          </w:p>
        </w:tc>
        <w:tc>
          <w:tcPr>
            <w:tcW w:w="808" w:type="dxa"/>
            <w:shd w:val="clear" w:color="auto" w:fill="auto"/>
            <w:noWrap/>
            <w:vAlign w:val="center"/>
            <w:hideMark/>
          </w:tcPr>
          <w:p w14:paraId="487C4E32" w14:textId="77777777" w:rsidR="00A808EB" w:rsidRPr="008D7BEC" w:rsidRDefault="00A808EB" w:rsidP="005C1B0B">
            <w:pPr>
              <w:tabs>
                <w:tab w:val="left" w:pos="709"/>
              </w:tabs>
              <w:contextualSpacing/>
              <w:jc w:val="center"/>
              <w:rPr>
                <w:color w:val="000000"/>
                <w:sz w:val="20"/>
                <w:szCs w:val="20"/>
                <w:lang w:val="en-MY" w:eastAsia="en-MY"/>
              </w:rPr>
            </w:pPr>
          </w:p>
        </w:tc>
        <w:tc>
          <w:tcPr>
            <w:tcW w:w="808" w:type="dxa"/>
            <w:shd w:val="clear" w:color="auto" w:fill="auto"/>
            <w:noWrap/>
            <w:vAlign w:val="center"/>
            <w:hideMark/>
          </w:tcPr>
          <w:p w14:paraId="63D0B738" w14:textId="77777777" w:rsidR="00A808EB" w:rsidRPr="008D7BEC" w:rsidRDefault="00A808EB" w:rsidP="005C1B0B">
            <w:pPr>
              <w:tabs>
                <w:tab w:val="left" w:pos="709"/>
              </w:tabs>
              <w:contextualSpacing/>
              <w:jc w:val="center"/>
              <w:rPr>
                <w:color w:val="000000"/>
                <w:sz w:val="20"/>
                <w:szCs w:val="20"/>
                <w:lang w:val="en-MY" w:eastAsia="en-MY"/>
              </w:rPr>
            </w:pPr>
          </w:p>
        </w:tc>
        <w:tc>
          <w:tcPr>
            <w:tcW w:w="1277" w:type="dxa"/>
            <w:shd w:val="clear" w:color="auto" w:fill="auto"/>
            <w:noWrap/>
            <w:vAlign w:val="center"/>
            <w:hideMark/>
          </w:tcPr>
          <w:p w14:paraId="5911BE20" w14:textId="77777777" w:rsidR="00A808EB" w:rsidRPr="00714079" w:rsidRDefault="00A808EB" w:rsidP="005C1B0B">
            <w:pPr>
              <w:tabs>
                <w:tab w:val="left" w:pos="709"/>
              </w:tabs>
              <w:contextualSpacing/>
              <w:jc w:val="center"/>
              <w:rPr>
                <w:color w:val="000000"/>
                <w:sz w:val="20"/>
                <w:szCs w:val="20"/>
                <w:lang w:val="en-MY" w:eastAsia="en-MY"/>
              </w:rPr>
            </w:pPr>
          </w:p>
        </w:tc>
      </w:tr>
      <w:tr w:rsidR="00A808EB" w:rsidRPr="00714079" w14:paraId="5F615B81" w14:textId="77777777" w:rsidTr="005C1B0B">
        <w:trPr>
          <w:trHeight w:val="300"/>
          <w:jc w:val="center"/>
        </w:trPr>
        <w:tc>
          <w:tcPr>
            <w:tcW w:w="777" w:type="dxa"/>
            <w:vMerge w:val="restart"/>
            <w:shd w:val="clear" w:color="auto" w:fill="auto"/>
            <w:hideMark/>
          </w:tcPr>
          <w:p w14:paraId="5DAEF28F" w14:textId="77777777" w:rsidR="00A808EB" w:rsidRDefault="00A808EB" w:rsidP="005C1B0B">
            <w:pPr>
              <w:tabs>
                <w:tab w:val="left" w:pos="709"/>
              </w:tabs>
              <w:jc w:val="center"/>
              <w:rPr>
                <w:color w:val="000000"/>
                <w:sz w:val="20"/>
                <w:szCs w:val="20"/>
                <w:lang w:val="en-MY" w:eastAsia="en-MY"/>
              </w:rPr>
            </w:pPr>
          </w:p>
          <w:p w14:paraId="1B9C3EE7"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VAIC</w:t>
            </w:r>
          </w:p>
        </w:tc>
        <w:tc>
          <w:tcPr>
            <w:tcW w:w="850" w:type="dxa"/>
            <w:shd w:val="clear" w:color="auto" w:fill="auto"/>
            <w:noWrap/>
            <w:vAlign w:val="center"/>
            <w:hideMark/>
          </w:tcPr>
          <w:p w14:paraId="5425ED6C" w14:textId="77777777" w:rsidR="00A808EB" w:rsidRPr="008D7BEC" w:rsidRDefault="00A808EB" w:rsidP="005C1B0B">
            <w:pPr>
              <w:tabs>
                <w:tab w:val="left" w:pos="709"/>
              </w:tabs>
              <w:contextualSpacing/>
              <w:jc w:val="center"/>
              <w:rPr>
                <w:color w:val="000000"/>
                <w:sz w:val="20"/>
                <w:szCs w:val="20"/>
                <w:lang w:val="en-MY" w:eastAsia="en-MY"/>
              </w:rPr>
            </w:pPr>
          </w:p>
          <w:p w14:paraId="4E122957" w14:textId="77777777" w:rsidR="00A808EB" w:rsidRPr="008D7BEC" w:rsidRDefault="00A808EB" w:rsidP="005C1B0B">
            <w:pPr>
              <w:tabs>
                <w:tab w:val="left" w:pos="709"/>
              </w:tabs>
              <w:contextualSpacing/>
              <w:jc w:val="center"/>
              <w:rPr>
                <w:color w:val="000000"/>
                <w:sz w:val="20"/>
                <w:szCs w:val="20"/>
                <w:lang w:val="en-MY" w:eastAsia="en-MY"/>
              </w:rPr>
            </w:pPr>
            <w:r w:rsidRPr="008D7BEC">
              <w:rPr>
                <w:color w:val="000000"/>
                <w:sz w:val="20"/>
                <w:szCs w:val="20"/>
                <w:lang w:val="en-MY" w:eastAsia="en-MY"/>
              </w:rPr>
              <w:t>0.</w:t>
            </w:r>
            <w:r w:rsidRPr="008D7BEC">
              <w:rPr>
                <w:b/>
                <w:bCs/>
                <w:color w:val="000000"/>
                <w:sz w:val="20"/>
                <w:szCs w:val="20"/>
                <w:lang w:val="en-MY" w:eastAsia="en-MY"/>
              </w:rPr>
              <w:t>794</w:t>
            </w:r>
            <w:r w:rsidRPr="008D7BEC">
              <w:rPr>
                <w:b/>
                <w:bCs/>
                <w:color w:val="000000"/>
                <w:sz w:val="20"/>
                <w:szCs w:val="20"/>
                <w:vertAlign w:val="superscript"/>
                <w:lang w:val="en-MY" w:eastAsia="en-MY"/>
              </w:rPr>
              <w:t>**</w:t>
            </w:r>
          </w:p>
        </w:tc>
        <w:tc>
          <w:tcPr>
            <w:tcW w:w="808" w:type="dxa"/>
            <w:shd w:val="clear" w:color="auto" w:fill="auto"/>
            <w:noWrap/>
            <w:vAlign w:val="center"/>
            <w:hideMark/>
          </w:tcPr>
          <w:p w14:paraId="29C8D808" w14:textId="77777777" w:rsidR="00A808EB" w:rsidRPr="008D7BEC" w:rsidRDefault="00A808EB" w:rsidP="005C1B0B">
            <w:pPr>
              <w:tabs>
                <w:tab w:val="left" w:pos="709"/>
              </w:tabs>
              <w:contextualSpacing/>
              <w:jc w:val="center"/>
              <w:rPr>
                <w:b/>
                <w:bCs/>
                <w:color w:val="000000"/>
                <w:sz w:val="20"/>
                <w:szCs w:val="20"/>
                <w:lang w:val="en-MY" w:eastAsia="en-MY"/>
              </w:rPr>
            </w:pPr>
          </w:p>
          <w:p w14:paraId="19147430"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0.807</w:t>
            </w:r>
            <w:r w:rsidRPr="008D7BEC">
              <w:rPr>
                <w:b/>
                <w:bCs/>
                <w:color w:val="000000"/>
                <w:sz w:val="20"/>
                <w:szCs w:val="20"/>
                <w:vertAlign w:val="superscript"/>
                <w:lang w:val="en-MY" w:eastAsia="en-MY"/>
              </w:rPr>
              <w:t>**</w:t>
            </w:r>
          </w:p>
        </w:tc>
        <w:tc>
          <w:tcPr>
            <w:tcW w:w="808" w:type="dxa"/>
            <w:shd w:val="clear" w:color="auto" w:fill="auto"/>
            <w:noWrap/>
            <w:vAlign w:val="center"/>
            <w:hideMark/>
          </w:tcPr>
          <w:p w14:paraId="40BA21A4" w14:textId="77777777" w:rsidR="00A808EB" w:rsidRPr="008D7BEC" w:rsidRDefault="00A808EB" w:rsidP="005C1B0B">
            <w:pPr>
              <w:tabs>
                <w:tab w:val="left" w:pos="709"/>
              </w:tabs>
              <w:contextualSpacing/>
              <w:jc w:val="center"/>
              <w:rPr>
                <w:b/>
                <w:bCs/>
                <w:color w:val="000000"/>
                <w:sz w:val="20"/>
                <w:szCs w:val="20"/>
                <w:lang w:val="en-MY" w:eastAsia="en-MY"/>
              </w:rPr>
            </w:pPr>
          </w:p>
          <w:p w14:paraId="3FA96001"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1</w:t>
            </w:r>
          </w:p>
        </w:tc>
        <w:tc>
          <w:tcPr>
            <w:tcW w:w="808" w:type="dxa"/>
            <w:shd w:val="clear" w:color="auto" w:fill="auto"/>
            <w:noWrap/>
            <w:vAlign w:val="center"/>
            <w:hideMark/>
          </w:tcPr>
          <w:p w14:paraId="5FD4CE85" w14:textId="77777777" w:rsidR="00A808EB" w:rsidRPr="008D7BEC" w:rsidRDefault="00A808EB" w:rsidP="005C1B0B">
            <w:pPr>
              <w:tabs>
                <w:tab w:val="left" w:pos="709"/>
              </w:tabs>
              <w:contextualSpacing/>
              <w:jc w:val="center"/>
              <w:rPr>
                <w:color w:val="000000"/>
                <w:sz w:val="20"/>
                <w:szCs w:val="20"/>
                <w:lang w:val="en-MY" w:eastAsia="en-MY"/>
              </w:rPr>
            </w:pPr>
          </w:p>
        </w:tc>
        <w:tc>
          <w:tcPr>
            <w:tcW w:w="1277" w:type="dxa"/>
            <w:shd w:val="clear" w:color="auto" w:fill="auto"/>
            <w:noWrap/>
            <w:vAlign w:val="center"/>
            <w:hideMark/>
          </w:tcPr>
          <w:p w14:paraId="02039B16" w14:textId="77777777" w:rsidR="00A808EB" w:rsidRPr="00714079" w:rsidRDefault="00A808EB" w:rsidP="005C1B0B">
            <w:pPr>
              <w:tabs>
                <w:tab w:val="left" w:pos="709"/>
              </w:tabs>
              <w:contextualSpacing/>
              <w:jc w:val="center"/>
              <w:rPr>
                <w:color w:val="000000"/>
                <w:sz w:val="20"/>
                <w:szCs w:val="20"/>
                <w:lang w:val="en-MY" w:eastAsia="en-MY"/>
              </w:rPr>
            </w:pPr>
          </w:p>
        </w:tc>
      </w:tr>
      <w:tr w:rsidR="00A808EB" w:rsidRPr="00714079" w14:paraId="7F6C6A25" w14:textId="77777777" w:rsidTr="005C1B0B">
        <w:trPr>
          <w:trHeight w:val="300"/>
          <w:jc w:val="center"/>
        </w:trPr>
        <w:tc>
          <w:tcPr>
            <w:tcW w:w="777" w:type="dxa"/>
            <w:vMerge/>
            <w:vAlign w:val="center"/>
            <w:hideMark/>
          </w:tcPr>
          <w:p w14:paraId="35004CC4" w14:textId="77777777" w:rsidR="00A808EB" w:rsidRPr="00714079" w:rsidRDefault="00A808EB" w:rsidP="005C1B0B">
            <w:pPr>
              <w:tabs>
                <w:tab w:val="left" w:pos="709"/>
              </w:tabs>
              <w:jc w:val="center"/>
              <w:rPr>
                <w:color w:val="000000"/>
                <w:sz w:val="20"/>
                <w:szCs w:val="20"/>
                <w:lang w:val="en-MY" w:eastAsia="en-MY"/>
              </w:rPr>
            </w:pPr>
          </w:p>
        </w:tc>
        <w:tc>
          <w:tcPr>
            <w:tcW w:w="850" w:type="dxa"/>
            <w:shd w:val="clear" w:color="auto" w:fill="auto"/>
            <w:noWrap/>
            <w:vAlign w:val="center"/>
            <w:hideMark/>
          </w:tcPr>
          <w:p w14:paraId="678DD112"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0.000</w:t>
            </w:r>
          </w:p>
        </w:tc>
        <w:tc>
          <w:tcPr>
            <w:tcW w:w="808" w:type="dxa"/>
            <w:shd w:val="clear" w:color="auto" w:fill="auto"/>
            <w:noWrap/>
            <w:vAlign w:val="center"/>
            <w:hideMark/>
          </w:tcPr>
          <w:p w14:paraId="469A7F86"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0.000</w:t>
            </w:r>
          </w:p>
        </w:tc>
        <w:tc>
          <w:tcPr>
            <w:tcW w:w="808" w:type="dxa"/>
            <w:shd w:val="clear" w:color="auto" w:fill="auto"/>
            <w:vAlign w:val="center"/>
            <w:hideMark/>
          </w:tcPr>
          <w:p w14:paraId="301B054F" w14:textId="77777777" w:rsidR="00A808EB" w:rsidRPr="008D7BEC" w:rsidRDefault="00A808EB" w:rsidP="005C1B0B">
            <w:pPr>
              <w:tabs>
                <w:tab w:val="left" w:pos="709"/>
              </w:tabs>
              <w:contextualSpacing/>
              <w:jc w:val="center"/>
              <w:rPr>
                <w:color w:val="000000"/>
                <w:sz w:val="20"/>
                <w:szCs w:val="20"/>
                <w:lang w:val="en-MY" w:eastAsia="en-MY"/>
              </w:rPr>
            </w:pPr>
          </w:p>
        </w:tc>
        <w:tc>
          <w:tcPr>
            <w:tcW w:w="808" w:type="dxa"/>
            <w:shd w:val="clear" w:color="auto" w:fill="auto"/>
            <w:noWrap/>
            <w:vAlign w:val="center"/>
            <w:hideMark/>
          </w:tcPr>
          <w:p w14:paraId="17A76212" w14:textId="77777777" w:rsidR="00A808EB" w:rsidRPr="008D7BEC" w:rsidRDefault="00A808EB" w:rsidP="005C1B0B">
            <w:pPr>
              <w:tabs>
                <w:tab w:val="left" w:pos="709"/>
              </w:tabs>
              <w:contextualSpacing/>
              <w:jc w:val="center"/>
              <w:rPr>
                <w:color w:val="000000"/>
                <w:sz w:val="20"/>
                <w:szCs w:val="20"/>
                <w:lang w:val="en-MY" w:eastAsia="en-MY"/>
              </w:rPr>
            </w:pPr>
          </w:p>
        </w:tc>
        <w:tc>
          <w:tcPr>
            <w:tcW w:w="1277" w:type="dxa"/>
            <w:shd w:val="clear" w:color="auto" w:fill="auto"/>
            <w:noWrap/>
            <w:vAlign w:val="center"/>
            <w:hideMark/>
          </w:tcPr>
          <w:p w14:paraId="0B6A1320" w14:textId="77777777" w:rsidR="00A808EB" w:rsidRPr="00714079" w:rsidRDefault="00A808EB" w:rsidP="005C1B0B">
            <w:pPr>
              <w:tabs>
                <w:tab w:val="left" w:pos="709"/>
              </w:tabs>
              <w:contextualSpacing/>
              <w:jc w:val="center"/>
              <w:rPr>
                <w:color w:val="000000"/>
                <w:sz w:val="20"/>
                <w:szCs w:val="20"/>
                <w:lang w:val="en-MY" w:eastAsia="en-MY"/>
              </w:rPr>
            </w:pPr>
          </w:p>
        </w:tc>
      </w:tr>
      <w:tr w:rsidR="00A808EB" w:rsidRPr="00714079" w14:paraId="6D3CC727" w14:textId="77777777" w:rsidTr="005C1B0B">
        <w:trPr>
          <w:trHeight w:val="300"/>
          <w:jc w:val="center"/>
        </w:trPr>
        <w:tc>
          <w:tcPr>
            <w:tcW w:w="777" w:type="dxa"/>
            <w:vMerge w:val="restart"/>
            <w:shd w:val="clear" w:color="auto" w:fill="auto"/>
            <w:hideMark/>
          </w:tcPr>
          <w:p w14:paraId="7D30FE21" w14:textId="77777777" w:rsidR="00A808EB" w:rsidRDefault="00A808EB" w:rsidP="005C1B0B">
            <w:pPr>
              <w:tabs>
                <w:tab w:val="left" w:pos="709"/>
              </w:tabs>
              <w:jc w:val="center"/>
              <w:rPr>
                <w:color w:val="000000"/>
                <w:sz w:val="20"/>
                <w:szCs w:val="20"/>
                <w:lang w:val="en-MY" w:eastAsia="en-MY"/>
              </w:rPr>
            </w:pPr>
          </w:p>
          <w:p w14:paraId="5B923F62"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SIZE</w:t>
            </w:r>
          </w:p>
        </w:tc>
        <w:tc>
          <w:tcPr>
            <w:tcW w:w="850" w:type="dxa"/>
            <w:shd w:val="clear" w:color="auto" w:fill="auto"/>
            <w:noWrap/>
            <w:vAlign w:val="center"/>
            <w:hideMark/>
          </w:tcPr>
          <w:p w14:paraId="14967523" w14:textId="77777777" w:rsidR="00A808EB" w:rsidRPr="008D7BEC" w:rsidRDefault="00A808EB" w:rsidP="005C1B0B">
            <w:pPr>
              <w:tabs>
                <w:tab w:val="left" w:pos="709"/>
              </w:tabs>
              <w:contextualSpacing/>
              <w:jc w:val="center"/>
              <w:rPr>
                <w:b/>
                <w:bCs/>
                <w:color w:val="000000"/>
                <w:sz w:val="20"/>
                <w:szCs w:val="20"/>
                <w:lang w:val="en-MY" w:eastAsia="en-MY"/>
              </w:rPr>
            </w:pPr>
          </w:p>
          <w:p w14:paraId="6B186DB8"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0.518</w:t>
            </w:r>
            <w:r w:rsidRPr="008D7BEC">
              <w:rPr>
                <w:b/>
                <w:bCs/>
                <w:color w:val="000000"/>
                <w:sz w:val="20"/>
                <w:szCs w:val="20"/>
                <w:vertAlign w:val="superscript"/>
                <w:lang w:val="en-MY" w:eastAsia="en-MY"/>
              </w:rPr>
              <w:t>**</w:t>
            </w:r>
          </w:p>
        </w:tc>
        <w:tc>
          <w:tcPr>
            <w:tcW w:w="808" w:type="dxa"/>
            <w:shd w:val="clear" w:color="auto" w:fill="auto"/>
            <w:noWrap/>
            <w:vAlign w:val="center"/>
            <w:hideMark/>
          </w:tcPr>
          <w:p w14:paraId="233619EA" w14:textId="77777777" w:rsidR="00A808EB" w:rsidRPr="008D7BEC" w:rsidRDefault="00A808EB" w:rsidP="005C1B0B">
            <w:pPr>
              <w:tabs>
                <w:tab w:val="left" w:pos="709"/>
              </w:tabs>
              <w:contextualSpacing/>
              <w:jc w:val="center"/>
              <w:rPr>
                <w:b/>
                <w:bCs/>
                <w:color w:val="000000"/>
                <w:sz w:val="20"/>
                <w:szCs w:val="20"/>
                <w:lang w:val="en-MY" w:eastAsia="en-MY"/>
              </w:rPr>
            </w:pPr>
          </w:p>
          <w:p w14:paraId="6D8CF967"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0.486</w:t>
            </w:r>
            <w:r w:rsidRPr="008D7BEC">
              <w:rPr>
                <w:b/>
                <w:bCs/>
                <w:color w:val="000000"/>
                <w:sz w:val="20"/>
                <w:szCs w:val="20"/>
                <w:vertAlign w:val="superscript"/>
                <w:lang w:val="en-MY" w:eastAsia="en-MY"/>
              </w:rPr>
              <w:t>**</w:t>
            </w:r>
          </w:p>
        </w:tc>
        <w:tc>
          <w:tcPr>
            <w:tcW w:w="808" w:type="dxa"/>
            <w:shd w:val="clear" w:color="auto" w:fill="auto"/>
            <w:noWrap/>
            <w:vAlign w:val="center"/>
            <w:hideMark/>
          </w:tcPr>
          <w:p w14:paraId="5448C4A0" w14:textId="77777777" w:rsidR="00A808EB" w:rsidRPr="008D7BEC" w:rsidRDefault="00A808EB" w:rsidP="005C1B0B">
            <w:pPr>
              <w:tabs>
                <w:tab w:val="left" w:pos="709"/>
              </w:tabs>
              <w:contextualSpacing/>
              <w:jc w:val="center"/>
              <w:rPr>
                <w:b/>
                <w:bCs/>
                <w:color w:val="000000"/>
                <w:sz w:val="20"/>
                <w:szCs w:val="20"/>
                <w:lang w:val="en-MY" w:eastAsia="en-MY"/>
              </w:rPr>
            </w:pPr>
          </w:p>
          <w:p w14:paraId="06AC10A9"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0.604</w:t>
            </w:r>
            <w:r w:rsidRPr="008D7BEC">
              <w:rPr>
                <w:b/>
                <w:bCs/>
                <w:color w:val="000000"/>
                <w:sz w:val="20"/>
                <w:szCs w:val="20"/>
                <w:vertAlign w:val="superscript"/>
                <w:lang w:val="en-MY" w:eastAsia="en-MY"/>
              </w:rPr>
              <w:t>**</w:t>
            </w:r>
          </w:p>
        </w:tc>
        <w:tc>
          <w:tcPr>
            <w:tcW w:w="808" w:type="dxa"/>
            <w:shd w:val="clear" w:color="auto" w:fill="auto"/>
            <w:noWrap/>
            <w:vAlign w:val="center"/>
            <w:hideMark/>
          </w:tcPr>
          <w:p w14:paraId="1207D167" w14:textId="77777777" w:rsidR="00A808EB" w:rsidRPr="008D7BEC" w:rsidRDefault="00A808EB" w:rsidP="005C1B0B">
            <w:pPr>
              <w:tabs>
                <w:tab w:val="left" w:pos="709"/>
              </w:tabs>
              <w:contextualSpacing/>
              <w:jc w:val="center"/>
              <w:rPr>
                <w:color w:val="000000"/>
                <w:sz w:val="20"/>
                <w:szCs w:val="20"/>
                <w:lang w:val="en-MY" w:eastAsia="en-MY"/>
              </w:rPr>
            </w:pPr>
          </w:p>
          <w:p w14:paraId="50F92420" w14:textId="77777777" w:rsidR="00A808EB" w:rsidRPr="008D7BEC" w:rsidRDefault="00A808EB" w:rsidP="005C1B0B">
            <w:pPr>
              <w:tabs>
                <w:tab w:val="left" w:pos="709"/>
              </w:tabs>
              <w:contextualSpacing/>
              <w:jc w:val="center"/>
              <w:rPr>
                <w:color w:val="000000"/>
                <w:sz w:val="20"/>
                <w:szCs w:val="20"/>
                <w:lang w:val="en-MY" w:eastAsia="en-MY"/>
              </w:rPr>
            </w:pPr>
            <w:r w:rsidRPr="008D7BEC">
              <w:rPr>
                <w:color w:val="000000"/>
                <w:sz w:val="20"/>
                <w:szCs w:val="20"/>
                <w:lang w:val="en-MY" w:eastAsia="en-MY"/>
              </w:rPr>
              <w:t>1</w:t>
            </w:r>
          </w:p>
        </w:tc>
        <w:tc>
          <w:tcPr>
            <w:tcW w:w="1277" w:type="dxa"/>
            <w:shd w:val="clear" w:color="auto" w:fill="auto"/>
            <w:noWrap/>
            <w:vAlign w:val="center"/>
            <w:hideMark/>
          </w:tcPr>
          <w:p w14:paraId="00EBB2F3" w14:textId="77777777" w:rsidR="00A808EB" w:rsidRPr="00714079" w:rsidRDefault="00A808EB" w:rsidP="005C1B0B">
            <w:pPr>
              <w:tabs>
                <w:tab w:val="left" w:pos="709"/>
              </w:tabs>
              <w:contextualSpacing/>
              <w:jc w:val="center"/>
              <w:rPr>
                <w:color w:val="000000"/>
                <w:sz w:val="20"/>
                <w:szCs w:val="20"/>
                <w:lang w:val="en-MY" w:eastAsia="en-MY"/>
              </w:rPr>
            </w:pPr>
          </w:p>
        </w:tc>
      </w:tr>
      <w:tr w:rsidR="00A808EB" w:rsidRPr="00714079" w14:paraId="1017F773" w14:textId="77777777" w:rsidTr="005C1B0B">
        <w:trPr>
          <w:trHeight w:val="300"/>
          <w:jc w:val="center"/>
        </w:trPr>
        <w:tc>
          <w:tcPr>
            <w:tcW w:w="777" w:type="dxa"/>
            <w:vMerge/>
            <w:vAlign w:val="center"/>
            <w:hideMark/>
          </w:tcPr>
          <w:p w14:paraId="4FB109D2" w14:textId="77777777" w:rsidR="00A808EB" w:rsidRPr="00714079" w:rsidRDefault="00A808EB" w:rsidP="005C1B0B">
            <w:pPr>
              <w:tabs>
                <w:tab w:val="left" w:pos="709"/>
              </w:tabs>
              <w:jc w:val="center"/>
              <w:rPr>
                <w:color w:val="000000"/>
                <w:sz w:val="20"/>
                <w:szCs w:val="20"/>
                <w:lang w:val="en-MY" w:eastAsia="en-MY"/>
              </w:rPr>
            </w:pPr>
          </w:p>
        </w:tc>
        <w:tc>
          <w:tcPr>
            <w:tcW w:w="850" w:type="dxa"/>
            <w:shd w:val="clear" w:color="auto" w:fill="auto"/>
            <w:noWrap/>
            <w:vAlign w:val="center"/>
            <w:hideMark/>
          </w:tcPr>
          <w:p w14:paraId="55D29CD2"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0.001</w:t>
            </w:r>
          </w:p>
        </w:tc>
        <w:tc>
          <w:tcPr>
            <w:tcW w:w="808" w:type="dxa"/>
            <w:shd w:val="clear" w:color="auto" w:fill="auto"/>
            <w:noWrap/>
            <w:vAlign w:val="center"/>
            <w:hideMark/>
          </w:tcPr>
          <w:p w14:paraId="0BD714D6"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0.002</w:t>
            </w:r>
          </w:p>
        </w:tc>
        <w:tc>
          <w:tcPr>
            <w:tcW w:w="808" w:type="dxa"/>
            <w:shd w:val="clear" w:color="auto" w:fill="auto"/>
            <w:noWrap/>
            <w:vAlign w:val="center"/>
            <w:hideMark/>
          </w:tcPr>
          <w:p w14:paraId="55470279"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0.000</w:t>
            </w:r>
          </w:p>
        </w:tc>
        <w:tc>
          <w:tcPr>
            <w:tcW w:w="808" w:type="dxa"/>
            <w:shd w:val="clear" w:color="auto" w:fill="auto"/>
            <w:vAlign w:val="center"/>
            <w:hideMark/>
          </w:tcPr>
          <w:p w14:paraId="2036C6A8" w14:textId="77777777" w:rsidR="00A808EB" w:rsidRPr="008D7BEC" w:rsidRDefault="00A808EB" w:rsidP="005C1B0B">
            <w:pPr>
              <w:tabs>
                <w:tab w:val="left" w:pos="709"/>
              </w:tabs>
              <w:contextualSpacing/>
              <w:jc w:val="center"/>
              <w:rPr>
                <w:color w:val="000000"/>
                <w:sz w:val="20"/>
                <w:szCs w:val="20"/>
                <w:lang w:val="en-MY" w:eastAsia="en-MY"/>
              </w:rPr>
            </w:pPr>
          </w:p>
        </w:tc>
        <w:tc>
          <w:tcPr>
            <w:tcW w:w="1277" w:type="dxa"/>
            <w:shd w:val="clear" w:color="auto" w:fill="auto"/>
            <w:noWrap/>
            <w:vAlign w:val="center"/>
            <w:hideMark/>
          </w:tcPr>
          <w:p w14:paraId="706FE7AE" w14:textId="77777777" w:rsidR="00A808EB" w:rsidRPr="00714079" w:rsidRDefault="00A808EB" w:rsidP="005C1B0B">
            <w:pPr>
              <w:tabs>
                <w:tab w:val="left" w:pos="709"/>
              </w:tabs>
              <w:contextualSpacing/>
              <w:jc w:val="center"/>
              <w:rPr>
                <w:color w:val="000000"/>
                <w:sz w:val="20"/>
                <w:szCs w:val="20"/>
                <w:lang w:val="en-MY" w:eastAsia="en-MY"/>
              </w:rPr>
            </w:pPr>
          </w:p>
        </w:tc>
      </w:tr>
      <w:tr w:rsidR="00A808EB" w:rsidRPr="00714079" w14:paraId="131C2EA3" w14:textId="77777777" w:rsidTr="005C1B0B">
        <w:trPr>
          <w:trHeight w:val="300"/>
          <w:jc w:val="center"/>
        </w:trPr>
        <w:tc>
          <w:tcPr>
            <w:tcW w:w="777" w:type="dxa"/>
            <w:vMerge w:val="restart"/>
            <w:tcBorders>
              <w:bottom w:val="single" w:sz="4" w:space="0" w:color="auto"/>
            </w:tcBorders>
            <w:shd w:val="clear" w:color="auto" w:fill="auto"/>
            <w:hideMark/>
          </w:tcPr>
          <w:p w14:paraId="027CA65C" w14:textId="77777777" w:rsidR="00A808EB" w:rsidRDefault="00A808EB" w:rsidP="005C1B0B">
            <w:pPr>
              <w:tabs>
                <w:tab w:val="left" w:pos="709"/>
              </w:tabs>
              <w:jc w:val="center"/>
              <w:rPr>
                <w:color w:val="000000"/>
                <w:sz w:val="20"/>
                <w:szCs w:val="20"/>
                <w:lang w:val="en-MY" w:eastAsia="en-MY"/>
              </w:rPr>
            </w:pPr>
          </w:p>
          <w:p w14:paraId="0306D804" w14:textId="77777777" w:rsidR="00A808EB" w:rsidRPr="00714079" w:rsidRDefault="00A808EB" w:rsidP="005C1B0B">
            <w:pPr>
              <w:tabs>
                <w:tab w:val="left" w:pos="709"/>
              </w:tabs>
              <w:jc w:val="center"/>
              <w:rPr>
                <w:color w:val="000000"/>
                <w:sz w:val="20"/>
                <w:szCs w:val="20"/>
                <w:lang w:val="en-MY" w:eastAsia="en-MY"/>
              </w:rPr>
            </w:pPr>
            <w:r w:rsidRPr="00714079">
              <w:rPr>
                <w:color w:val="000000"/>
                <w:sz w:val="20"/>
                <w:szCs w:val="20"/>
                <w:lang w:val="en-MY" w:eastAsia="en-MY"/>
              </w:rPr>
              <w:t>LEV</w:t>
            </w:r>
          </w:p>
        </w:tc>
        <w:tc>
          <w:tcPr>
            <w:tcW w:w="850" w:type="dxa"/>
            <w:shd w:val="clear" w:color="auto" w:fill="auto"/>
            <w:noWrap/>
            <w:vAlign w:val="center"/>
            <w:hideMark/>
          </w:tcPr>
          <w:p w14:paraId="3899B499" w14:textId="77777777" w:rsidR="00A808EB" w:rsidRPr="008D7BEC" w:rsidRDefault="00A808EB" w:rsidP="005C1B0B">
            <w:pPr>
              <w:tabs>
                <w:tab w:val="left" w:pos="709"/>
              </w:tabs>
              <w:contextualSpacing/>
              <w:jc w:val="center"/>
              <w:rPr>
                <w:b/>
                <w:bCs/>
                <w:color w:val="000000"/>
                <w:sz w:val="20"/>
                <w:szCs w:val="20"/>
                <w:lang w:val="en-MY" w:eastAsia="en-MY"/>
              </w:rPr>
            </w:pPr>
          </w:p>
          <w:p w14:paraId="7BB22352"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0.033</w:t>
            </w:r>
          </w:p>
        </w:tc>
        <w:tc>
          <w:tcPr>
            <w:tcW w:w="808" w:type="dxa"/>
            <w:shd w:val="clear" w:color="auto" w:fill="auto"/>
            <w:noWrap/>
            <w:vAlign w:val="center"/>
            <w:hideMark/>
          </w:tcPr>
          <w:p w14:paraId="7C01FFDD" w14:textId="77777777" w:rsidR="00A808EB" w:rsidRPr="008D7BEC" w:rsidRDefault="00A808EB" w:rsidP="005C1B0B">
            <w:pPr>
              <w:tabs>
                <w:tab w:val="left" w:pos="709"/>
              </w:tabs>
              <w:contextualSpacing/>
              <w:jc w:val="center"/>
              <w:rPr>
                <w:b/>
                <w:bCs/>
                <w:color w:val="000000"/>
                <w:sz w:val="20"/>
                <w:szCs w:val="20"/>
                <w:lang w:val="en-MY" w:eastAsia="en-MY"/>
              </w:rPr>
            </w:pPr>
          </w:p>
          <w:p w14:paraId="73C1C3E2"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0.106</w:t>
            </w:r>
          </w:p>
        </w:tc>
        <w:tc>
          <w:tcPr>
            <w:tcW w:w="808" w:type="dxa"/>
            <w:shd w:val="clear" w:color="auto" w:fill="auto"/>
            <w:noWrap/>
            <w:vAlign w:val="center"/>
            <w:hideMark/>
          </w:tcPr>
          <w:p w14:paraId="6B84A604" w14:textId="77777777" w:rsidR="00A808EB" w:rsidRPr="008D7BEC" w:rsidRDefault="00A808EB" w:rsidP="005C1B0B">
            <w:pPr>
              <w:tabs>
                <w:tab w:val="left" w:pos="709"/>
              </w:tabs>
              <w:contextualSpacing/>
              <w:jc w:val="center"/>
              <w:rPr>
                <w:b/>
                <w:bCs/>
                <w:color w:val="000000"/>
                <w:sz w:val="20"/>
                <w:szCs w:val="20"/>
                <w:lang w:val="en-MY" w:eastAsia="en-MY"/>
              </w:rPr>
            </w:pPr>
          </w:p>
          <w:p w14:paraId="5AE1DD77"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0.077</w:t>
            </w:r>
          </w:p>
        </w:tc>
        <w:tc>
          <w:tcPr>
            <w:tcW w:w="808" w:type="dxa"/>
            <w:shd w:val="clear" w:color="auto" w:fill="auto"/>
            <w:noWrap/>
            <w:vAlign w:val="center"/>
            <w:hideMark/>
          </w:tcPr>
          <w:p w14:paraId="25F9FB5E" w14:textId="77777777" w:rsidR="00A808EB" w:rsidRPr="008D7BEC" w:rsidRDefault="00A808EB" w:rsidP="005C1B0B">
            <w:pPr>
              <w:tabs>
                <w:tab w:val="left" w:pos="709"/>
              </w:tabs>
              <w:contextualSpacing/>
              <w:jc w:val="center"/>
              <w:rPr>
                <w:b/>
                <w:bCs/>
                <w:color w:val="000000"/>
                <w:sz w:val="20"/>
                <w:szCs w:val="20"/>
                <w:lang w:val="en-MY" w:eastAsia="en-MY"/>
              </w:rPr>
            </w:pPr>
          </w:p>
          <w:p w14:paraId="022D1686" w14:textId="77777777" w:rsidR="00A808EB" w:rsidRPr="008D7BEC" w:rsidRDefault="00A808EB" w:rsidP="005C1B0B">
            <w:pPr>
              <w:tabs>
                <w:tab w:val="left" w:pos="709"/>
              </w:tabs>
              <w:contextualSpacing/>
              <w:jc w:val="center"/>
              <w:rPr>
                <w:b/>
                <w:bCs/>
                <w:color w:val="000000"/>
                <w:sz w:val="20"/>
                <w:szCs w:val="20"/>
                <w:lang w:val="en-MY" w:eastAsia="en-MY"/>
              </w:rPr>
            </w:pPr>
            <w:r w:rsidRPr="008D7BEC">
              <w:rPr>
                <w:b/>
                <w:bCs/>
                <w:color w:val="000000"/>
                <w:sz w:val="20"/>
                <w:szCs w:val="20"/>
                <w:lang w:val="en-MY" w:eastAsia="en-MY"/>
              </w:rPr>
              <w:t>0.459</w:t>
            </w:r>
            <w:r w:rsidRPr="008D7BEC">
              <w:rPr>
                <w:b/>
                <w:bCs/>
                <w:color w:val="000000"/>
                <w:sz w:val="20"/>
                <w:szCs w:val="20"/>
                <w:vertAlign w:val="superscript"/>
                <w:lang w:val="en-MY" w:eastAsia="en-MY"/>
              </w:rPr>
              <w:t>**</w:t>
            </w:r>
          </w:p>
        </w:tc>
        <w:tc>
          <w:tcPr>
            <w:tcW w:w="1277" w:type="dxa"/>
            <w:shd w:val="clear" w:color="auto" w:fill="auto"/>
            <w:noWrap/>
            <w:vAlign w:val="center"/>
            <w:hideMark/>
          </w:tcPr>
          <w:p w14:paraId="16C5D033" w14:textId="77777777" w:rsidR="00A808EB" w:rsidRDefault="00A808EB" w:rsidP="005C1B0B">
            <w:pPr>
              <w:tabs>
                <w:tab w:val="left" w:pos="709"/>
              </w:tabs>
              <w:contextualSpacing/>
              <w:jc w:val="center"/>
              <w:rPr>
                <w:color w:val="000000"/>
                <w:sz w:val="20"/>
                <w:szCs w:val="20"/>
                <w:lang w:val="en-MY" w:eastAsia="en-MY"/>
              </w:rPr>
            </w:pPr>
          </w:p>
          <w:p w14:paraId="3DD0ECE0" w14:textId="77777777" w:rsidR="00A808EB" w:rsidRPr="00714079" w:rsidRDefault="00A808EB" w:rsidP="005C1B0B">
            <w:pPr>
              <w:tabs>
                <w:tab w:val="left" w:pos="709"/>
              </w:tabs>
              <w:contextualSpacing/>
              <w:jc w:val="center"/>
              <w:rPr>
                <w:color w:val="000000"/>
                <w:sz w:val="20"/>
                <w:szCs w:val="20"/>
                <w:lang w:val="en-MY" w:eastAsia="en-MY"/>
              </w:rPr>
            </w:pPr>
            <w:r w:rsidRPr="00714079">
              <w:rPr>
                <w:color w:val="000000"/>
                <w:sz w:val="20"/>
                <w:szCs w:val="20"/>
                <w:lang w:val="en-MY" w:eastAsia="en-MY"/>
              </w:rPr>
              <w:t>1</w:t>
            </w:r>
          </w:p>
        </w:tc>
      </w:tr>
      <w:tr w:rsidR="00A808EB" w:rsidRPr="00714079" w14:paraId="0CE93D4F" w14:textId="77777777" w:rsidTr="005C1B0B">
        <w:trPr>
          <w:trHeight w:val="300"/>
          <w:jc w:val="center"/>
        </w:trPr>
        <w:tc>
          <w:tcPr>
            <w:tcW w:w="777" w:type="dxa"/>
            <w:vMerge/>
            <w:tcBorders>
              <w:bottom w:val="single" w:sz="4" w:space="0" w:color="auto"/>
            </w:tcBorders>
            <w:vAlign w:val="center"/>
            <w:hideMark/>
          </w:tcPr>
          <w:p w14:paraId="3B35CDDA" w14:textId="77777777" w:rsidR="00A808EB" w:rsidRPr="00714079" w:rsidRDefault="00A808EB" w:rsidP="005C1B0B">
            <w:pPr>
              <w:tabs>
                <w:tab w:val="left" w:pos="709"/>
              </w:tabs>
              <w:jc w:val="center"/>
              <w:rPr>
                <w:color w:val="000000"/>
                <w:sz w:val="20"/>
                <w:szCs w:val="20"/>
                <w:lang w:val="en-MY" w:eastAsia="en-MY"/>
              </w:rPr>
            </w:pPr>
          </w:p>
        </w:tc>
        <w:tc>
          <w:tcPr>
            <w:tcW w:w="850" w:type="dxa"/>
            <w:tcBorders>
              <w:bottom w:val="single" w:sz="4" w:space="0" w:color="auto"/>
            </w:tcBorders>
            <w:shd w:val="clear" w:color="auto" w:fill="auto"/>
            <w:noWrap/>
            <w:vAlign w:val="center"/>
            <w:hideMark/>
          </w:tcPr>
          <w:p w14:paraId="1A26E53C"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0.847</w:t>
            </w:r>
          </w:p>
        </w:tc>
        <w:tc>
          <w:tcPr>
            <w:tcW w:w="808" w:type="dxa"/>
            <w:tcBorders>
              <w:bottom w:val="single" w:sz="4" w:space="0" w:color="auto"/>
            </w:tcBorders>
            <w:shd w:val="clear" w:color="auto" w:fill="auto"/>
            <w:noWrap/>
            <w:vAlign w:val="center"/>
            <w:hideMark/>
          </w:tcPr>
          <w:p w14:paraId="6134FBBF"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0.531</w:t>
            </w:r>
          </w:p>
        </w:tc>
        <w:tc>
          <w:tcPr>
            <w:tcW w:w="808" w:type="dxa"/>
            <w:tcBorders>
              <w:bottom w:val="single" w:sz="4" w:space="0" w:color="auto"/>
            </w:tcBorders>
            <w:shd w:val="clear" w:color="auto" w:fill="auto"/>
            <w:noWrap/>
            <w:vAlign w:val="center"/>
            <w:hideMark/>
          </w:tcPr>
          <w:p w14:paraId="48AABD21"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0.651</w:t>
            </w:r>
          </w:p>
        </w:tc>
        <w:tc>
          <w:tcPr>
            <w:tcW w:w="808" w:type="dxa"/>
            <w:tcBorders>
              <w:bottom w:val="single" w:sz="4" w:space="0" w:color="auto"/>
            </w:tcBorders>
            <w:shd w:val="clear" w:color="auto" w:fill="auto"/>
            <w:noWrap/>
            <w:vAlign w:val="center"/>
            <w:hideMark/>
          </w:tcPr>
          <w:p w14:paraId="592686A9" w14:textId="77777777" w:rsidR="00A808EB" w:rsidRPr="008D7BEC" w:rsidRDefault="00A808EB" w:rsidP="005C1B0B">
            <w:pPr>
              <w:tabs>
                <w:tab w:val="left" w:pos="709"/>
              </w:tabs>
              <w:contextualSpacing/>
              <w:jc w:val="center"/>
              <w:rPr>
                <w:i/>
                <w:iCs/>
                <w:color w:val="000000"/>
                <w:sz w:val="20"/>
                <w:szCs w:val="20"/>
                <w:lang w:val="en-MY" w:eastAsia="en-MY"/>
              </w:rPr>
            </w:pPr>
            <w:r w:rsidRPr="008D7BEC">
              <w:rPr>
                <w:i/>
                <w:iCs/>
                <w:color w:val="000000"/>
                <w:sz w:val="20"/>
                <w:szCs w:val="20"/>
                <w:lang w:val="en-MY" w:eastAsia="en-MY"/>
              </w:rPr>
              <w:t>0.004</w:t>
            </w:r>
          </w:p>
        </w:tc>
        <w:tc>
          <w:tcPr>
            <w:tcW w:w="1277" w:type="dxa"/>
            <w:tcBorders>
              <w:bottom w:val="single" w:sz="4" w:space="0" w:color="auto"/>
            </w:tcBorders>
            <w:shd w:val="clear" w:color="auto" w:fill="auto"/>
            <w:vAlign w:val="center"/>
            <w:hideMark/>
          </w:tcPr>
          <w:p w14:paraId="3608DBE9" w14:textId="77777777" w:rsidR="00A808EB" w:rsidRPr="00714079" w:rsidRDefault="00A808EB" w:rsidP="005C1B0B">
            <w:pPr>
              <w:tabs>
                <w:tab w:val="left" w:pos="709"/>
              </w:tabs>
              <w:contextualSpacing/>
              <w:jc w:val="center"/>
              <w:rPr>
                <w:color w:val="000000"/>
                <w:sz w:val="20"/>
                <w:szCs w:val="20"/>
                <w:lang w:val="en-MY" w:eastAsia="en-MY"/>
              </w:rPr>
            </w:pPr>
          </w:p>
        </w:tc>
      </w:tr>
    </w:tbl>
    <w:p w14:paraId="6AE1B3FF" w14:textId="77777777" w:rsidR="00A808EB" w:rsidRPr="00714079" w:rsidRDefault="00A808EB" w:rsidP="00A808EB">
      <w:pPr>
        <w:tabs>
          <w:tab w:val="left" w:pos="709"/>
        </w:tabs>
        <w:rPr>
          <w:sz w:val="20"/>
          <w:szCs w:val="20"/>
        </w:rPr>
      </w:pPr>
      <w:r w:rsidRPr="0045581B">
        <w:rPr>
          <w:sz w:val="22"/>
        </w:rPr>
        <w:t xml:space="preserve">                         </w:t>
      </w:r>
      <w:r w:rsidRPr="00714079">
        <w:rPr>
          <w:sz w:val="20"/>
          <w:szCs w:val="20"/>
        </w:rPr>
        <w:t>Notes: The values in bold are the correlation coefficients.</w:t>
      </w:r>
    </w:p>
    <w:p w14:paraId="6FC33598" w14:textId="77777777" w:rsidR="00A808EB" w:rsidRPr="00714079" w:rsidRDefault="00A808EB" w:rsidP="00A808EB">
      <w:pPr>
        <w:rPr>
          <w:color w:val="FF0000"/>
          <w:sz w:val="22"/>
          <w:szCs w:val="20"/>
          <w:rtl/>
        </w:rPr>
      </w:pPr>
      <w:r w:rsidRPr="00714079">
        <w:rPr>
          <w:sz w:val="20"/>
          <w:szCs w:val="20"/>
        </w:rPr>
        <w:t xml:space="preserve">                                     The values in italic are the significance levels.</w:t>
      </w:r>
    </w:p>
    <w:p w14:paraId="2EEC0114" w14:textId="77777777" w:rsidR="00A808EB" w:rsidRPr="007462D0" w:rsidRDefault="00A808EB" w:rsidP="00A808EB"/>
    <w:p w14:paraId="2EF235A8" w14:textId="77777777" w:rsidR="00A808EB" w:rsidRPr="00D51718" w:rsidRDefault="00A808EB" w:rsidP="00A808EB">
      <w:pPr>
        <w:spacing w:after="240"/>
        <w:ind w:firstLine="720"/>
        <w:jc w:val="both"/>
        <w:rPr>
          <w:color w:val="FF0000"/>
          <w:rtl/>
        </w:rPr>
      </w:pPr>
      <w:r w:rsidRPr="00D51718">
        <w:rPr>
          <w:bdr w:val="none" w:sz="0" w:space="0" w:color="auto" w:frame="1"/>
          <w:shd w:val="clear" w:color="auto" w:fill="FFFFFF"/>
        </w:rPr>
        <w:t xml:space="preserve">The Pearson correlation results in Table 2 are initial indications of the relationships between the variables. VAIC is significantly positively correlated with both ROA and ROE (p value = 0.000). This means that the higher the VAIC, higher the firm performance. Firm size of the TT&amp;M companies is also significantly positively correlated with ROA and ROE. Thus, bigger companies make more profit. However, leverage of these </w:t>
      </w:r>
      <w:r w:rsidRPr="0006087A">
        <w:rPr>
          <w:bdr w:val="none" w:sz="0" w:space="0" w:color="auto" w:frame="1"/>
          <w:shd w:val="clear" w:color="auto" w:fill="FFFFFF"/>
        </w:rPr>
        <w:t>companies is not correlated with their firm performance. Further analysis shows that in the TT&amp;M companies, ROA and ROE are also significantly correlated, by about 93%. On the other hand, as the correlation coefficients between the explanatory variables are less than 80%, there is no problem of multicollinearity.</w:t>
      </w:r>
    </w:p>
    <w:p w14:paraId="1D013C42" w14:textId="77777777" w:rsidR="00A808EB" w:rsidRPr="004F3A72" w:rsidRDefault="00A808EB" w:rsidP="00A808EB">
      <w:pPr>
        <w:spacing w:after="240"/>
        <w:ind w:firstLine="720"/>
        <w:jc w:val="both"/>
      </w:pPr>
      <w:r w:rsidRPr="00D51718">
        <w:t>Next, Table 3 presents the results of the Pearson correlation tests for the variables in Regression 2.</w:t>
      </w:r>
      <w:r>
        <w:t xml:space="preserve"> </w:t>
      </w:r>
      <w:r w:rsidRPr="00D51718">
        <w:t>The results in Table 3 show that HCe and CEe are significantly positively correlated with both ROA and ROE (p-value = 0.000). SCe is also significantly positively correlated with the two performance measures, but slightly less so, i.e. with ROA (p-value &lt; 0.05) and with ROE (p-value &lt; 0.01). Firm size remains significantly positively correlated with both firm performance measures, but leverage is still not significant. In addition, as the correlation coefficients of the explanatory variables are below 80%, there is no multicollinearity problem.</w:t>
      </w:r>
    </w:p>
    <w:p w14:paraId="53717BBA" w14:textId="77777777" w:rsidR="00A808EB" w:rsidRDefault="00A808EB" w:rsidP="00A808EB">
      <w:pPr>
        <w:pStyle w:val="Caption"/>
        <w:rPr>
          <w:rFonts w:cs="Times New Roman"/>
        </w:rPr>
      </w:pPr>
    </w:p>
    <w:p w14:paraId="43A480E9" w14:textId="77777777" w:rsidR="00A808EB" w:rsidRPr="00714079" w:rsidRDefault="00A808EB" w:rsidP="00A808EB">
      <w:pPr>
        <w:pStyle w:val="Caption"/>
        <w:rPr>
          <w:rFonts w:eastAsia="Calibri" w:cs="Times New Roman"/>
          <w:b/>
          <w:bCs/>
          <w:lang w:val="en-MY"/>
        </w:rPr>
      </w:pPr>
      <w:r w:rsidRPr="00714079">
        <w:rPr>
          <w:rFonts w:cs="Times New Roman"/>
          <w:b/>
          <w:bCs/>
        </w:rPr>
        <w:t>Table 3:</w:t>
      </w:r>
      <w:r w:rsidRPr="00714079">
        <w:rPr>
          <w:rFonts w:eastAsia="Calibri" w:cs="Times New Roman"/>
          <w:b/>
          <w:bCs/>
          <w:lang w:val="en-MY"/>
        </w:rPr>
        <w:t xml:space="preserve"> Pearson Correlation Results for Regression 2 Variables</w:t>
      </w:r>
    </w:p>
    <w:p w14:paraId="18F24B88" w14:textId="77777777" w:rsidR="00A808EB" w:rsidRPr="00701B7B" w:rsidRDefault="00A808EB" w:rsidP="00A808EB"/>
    <w:tbl>
      <w:tblPr>
        <w:tblW w:w="5712" w:type="dxa"/>
        <w:jc w:val="center"/>
        <w:tblLook w:val="04A0" w:firstRow="1" w:lastRow="0" w:firstColumn="1" w:lastColumn="0" w:noHBand="0" w:noVBand="1"/>
      </w:tblPr>
      <w:tblGrid>
        <w:gridCol w:w="639"/>
        <w:gridCol w:w="796"/>
        <w:gridCol w:w="796"/>
        <w:gridCol w:w="796"/>
        <w:gridCol w:w="796"/>
        <w:gridCol w:w="796"/>
        <w:gridCol w:w="796"/>
        <w:gridCol w:w="527"/>
      </w:tblGrid>
      <w:tr w:rsidR="00A808EB" w:rsidRPr="00344C41" w14:paraId="44CA147A" w14:textId="77777777" w:rsidTr="005C1B0B">
        <w:trPr>
          <w:trHeight w:val="293"/>
          <w:jc w:val="center"/>
        </w:trPr>
        <w:tc>
          <w:tcPr>
            <w:tcW w:w="639" w:type="dxa"/>
            <w:tcBorders>
              <w:top w:val="single" w:sz="4" w:space="0" w:color="auto"/>
              <w:bottom w:val="single" w:sz="4" w:space="0" w:color="auto"/>
            </w:tcBorders>
            <w:shd w:val="clear" w:color="auto" w:fill="auto"/>
            <w:vAlign w:val="bottom"/>
            <w:hideMark/>
          </w:tcPr>
          <w:p w14:paraId="22484E90" w14:textId="77777777" w:rsidR="00A808EB" w:rsidRPr="00344C41" w:rsidRDefault="00A808EB" w:rsidP="005C1B0B">
            <w:pPr>
              <w:jc w:val="center"/>
              <w:rPr>
                <w:color w:val="000000"/>
                <w:sz w:val="20"/>
                <w:szCs w:val="20"/>
                <w:lang w:val="en-MY" w:eastAsia="en-MY"/>
              </w:rPr>
            </w:pPr>
          </w:p>
        </w:tc>
        <w:tc>
          <w:tcPr>
            <w:tcW w:w="796" w:type="dxa"/>
            <w:tcBorders>
              <w:top w:val="single" w:sz="4" w:space="0" w:color="auto"/>
              <w:bottom w:val="single" w:sz="4" w:space="0" w:color="auto"/>
            </w:tcBorders>
            <w:shd w:val="clear" w:color="auto" w:fill="auto"/>
            <w:vAlign w:val="bottom"/>
            <w:hideMark/>
          </w:tcPr>
          <w:p w14:paraId="4AFABFF5"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ROA</w:t>
            </w:r>
          </w:p>
        </w:tc>
        <w:tc>
          <w:tcPr>
            <w:tcW w:w="796" w:type="dxa"/>
            <w:tcBorders>
              <w:top w:val="single" w:sz="4" w:space="0" w:color="auto"/>
              <w:bottom w:val="single" w:sz="4" w:space="0" w:color="auto"/>
            </w:tcBorders>
            <w:shd w:val="clear" w:color="auto" w:fill="auto"/>
            <w:vAlign w:val="bottom"/>
            <w:hideMark/>
          </w:tcPr>
          <w:p w14:paraId="10A2E516"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ROE</w:t>
            </w:r>
          </w:p>
        </w:tc>
        <w:tc>
          <w:tcPr>
            <w:tcW w:w="796" w:type="dxa"/>
            <w:tcBorders>
              <w:top w:val="single" w:sz="4" w:space="0" w:color="auto"/>
              <w:bottom w:val="single" w:sz="4" w:space="0" w:color="auto"/>
            </w:tcBorders>
            <w:shd w:val="clear" w:color="auto" w:fill="auto"/>
            <w:vAlign w:val="bottom"/>
            <w:hideMark/>
          </w:tcPr>
          <w:p w14:paraId="543B309E"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HCe</w:t>
            </w:r>
          </w:p>
        </w:tc>
        <w:tc>
          <w:tcPr>
            <w:tcW w:w="796" w:type="dxa"/>
            <w:tcBorders>
              <w:top w:val="single" w:sz="4" w:space="0" w:color="auto"/>
              <w:bottom w:val="single" w:sz="4" w:space="0" w:color="auto"/>
            </w:tcBorders>
            <w:shd w:val="clear" w:color="auto" w:fill="auto"/>
            <w:vAlign w:val="bottom"/>
            <w:hideMark/>
          </w:tcPr>
          <w:p w14:paraId="7DC4FD01"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SCe</w:t>
            </w:r>
          </w:p>
        </w:tc>
        <w:tc>
          <w:tcPr>
            <w:tcW w:w="666" w:type="dxa"/>
            <w:tcBorders>
              <w:top w:val="single" w:sz="4" w:space="0" w:color="auto"/>
              <w:bottom w:val="single" w:sz="4" w:space="0" w:color="auto"/>
            </w:tcBorders>
            <w:shd w:val="clear" w:color="auto" w:fill="auto"/>
            <w:vAlign w:val="bottom"/>
            <w:hideMark/>
          </w:tcPr>
          <w:p w14:paraId="092B06E1"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CEe</w:t>
            </w:r>
          </w:p>
        </w:tc>
        <w:tc>
          <w:tcPr>
            <w:tcW w:w="696" w:type="dxa"/>
            <w:tcBorders>
              <w:top w:val="single" w:sz="4" w:space="0" w:color="auto"/>
              <w:bottom w:val="single" w:sz="4" w:space="0" w:color="auto"/>
            </w:tcBorders>
            <w:shd w:val="clear" w:color="auto" w:fill="auto"/>
            <w:vAlign w:val="bottom"/>
            <w:hideMark/>
          </w:tcPr>
          <w:p w14:paraId="52B38E6C"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Size</w:t>
            </w:r>
          </w:p>
        </w:tc>
        <w:tc>
          <w:tcPr>
            <w:tcW w:w="527" w:type="dxa"/>
            <w:tcBorders>
              <w:top w:val="single" w:sz="4" w:space="0" w:color="auto"/>
              <w:bottom w:val="single" w:sz="4" w:space="0" w:color="auto"/>
            </w:tcBorders>
          </w:tcPr>
          <w:p w14:paraId="4D6BB746" w14:textId="77777777" w:rsidR="00A808EB" w:rsidRPr="00344C41" w:rsidRDefault="00A808EB" w:rsidP="005C1B0B">
            <w:pPr>
              <w:rPr>
                <w:color w:val="000000"/>
                <w:sz w:val="20"/>
                <w:szCs w:val="20"/>
                <w:lang w:val="en-MY" w:eastAsia="en-MY"/>
              </w:rPr>
            </w:pPr>
          </w:p>
          <w:p w14:paraId="3862E3CD"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Lev</w:t>
            </w:r>
          </w:p>
        </w:tc>
      </w:tr>
      <w:tr w:rsidR="00A808EB" w:rsidRPr="00344C41" w14:paraId="4BAA6393" w14:textId="77777777" w:rsidTr="005C1B0B">
        <w:trPr>
          <w:trHeight w:val="315"/>
          <w:jc w:val="center"/>
        </w:trPr>
        <w:tc>
          <w:tcPr>
            <w:tcW w:w="639" w:type="dxa"/>
            <w:tcBorders>
              <w:top w:val="single" w:sz="4" w:space="0" w:color="auto"/>
            </w:tcBorders>
            <w:shd w:val="clear" w:color="auto" w:fill="auto"/>
            <w:hideMark/>
          </w:tcPr>
          <w:p w14:paraId="17806078" w14:textId="77777777" w:rsidR="00A808EB" w:rsidRPr="00344C41" w:rsidRDefault="00A808EB" w:rsidP="005C1B0B">
            <w:pPr>
              <w:jc w:val="center"/>
              <w:rPr>
                <w:color w:val="000000"/>
                <w:sz w:val="20"/>
                <w:szCs w:val="20"/>
                <w:lang w:val="en-MY" w:eastAsia="en-MY"/>
              </w:rPr>
            </w:pPr>
            <w:r w:rsidRPr="00344C41">
              <w:rPr>
                <w:color w:val="000000"/>
                <w:sz w:val="20"/>
                <w:szCs w:val="20"/>
                <w:lang w:val="en-MY" w:eastAsia="en-MY"/>
              </w:rPr>
              <w:t>ROA</w:t>
            </w:r>
          </w:p>
        </w:tc>
        <w:tc>
          <w:tcPr>
            <w:tcW w:w="796" w:type="dxa"/>
            <w:tcBorders>
              <w:top w:val="single" w:sz="4" w:space="0" w:color="auto"/>
            </w:tcBorders>
            <w:shd w:val="clear" w:color="auto" w:fill="auto"/>
            <w:noWrap/>
            <w:vAlign w:val="center"/>
            <w:hideMark/>
          </w:tcPr>
          <w:p w14:paraId="33018E65" w14:textId="77777777" w:rsidR="00A808EB" w:rsidRPr="00344C41" w:rsidRDefault="00A808EB" w:rsidP="005C1B0B">
            <w:pPr>
              <w:jc w:val="center"/>
              <w:rPr>
                <w:b/>
                <w:bCs/>
                <w:color w:val="000000"/>
                <w:sz w:val="20"/>
                <w:szCs w:val="20"/>
                <w:lang w:val="en-MY" w:eastAsia="en-MY"/>
              </w:rPr>
            </w:pPr>
            <w:r w:rsidRPr="00344C41">
              <w:rPr>
                <w:b/>
                <w:bCs/>
                <w:color w:val="000000"/>
                <w:sz w:val="20"/>
                <w:szCs w:val="20"/>
                <w:lang w:val="en-MY" w:eastAsia="en-MY"/>
              </w:rPr>
              <w:t>1</w:t>
            </w:r>
          </w:p>
        </w:tc>
        <w:tc>
          <w:tcPr>
            <w:tcW w:w="796" w:type="dxa"/>
            <w:tcBorders>
              <w:top w:val="single" w:sz="4" w:space="0" w:color="auto"/>
            </w:tcBorders>
            <w:shd w:val="clear" w:color="auto" w:fill="auto"/>
            <w:noWrap/>
            <w:vAlign w:val="center"/>
            <w:hideMark/>
          </w:tcPr>
          <w:p w14:paraId="5DC09860" w14:textId="77777777" w:rsidR="00A808EB" w:rsidRPr="00344C41" w:rsidRDefault="00A808EB" w:rsidP="005C1B0B">
            <w:pPr>
              <w:jc w:val="center"/>
              <w:rPr>
                <w:color w:val="000000"/>
                <w:sz w:val="20"/>
                <w:szCs w:val="20"/>
                <w:lang w:val="en-MY" w:eastAsia="en-MY"/>
              </w:rPr>
            </w:pPr>
          </w:p>
        </w:tc>
        <w:tc>
          <w:tcPr>
            <w:tcW w:w="796" w:type="dxa"/>
            <w:tcBorders>
              <w:top w:val="single" w:sz="4" w:space="0" w:color="auto"/>
            </w:tcBorders>
            <w:shd w:val="clear" w:color="auto" w:fill="auto"/>
            <w:noWrap/>
            <w:vAlign w:val="center"/>
            <w:hideMark/>
          </w:tcPr>
          <w:p w14:paraId="40A272FE" w14:textId="77777777" w:rsidR="00A808EB" w:rsidRPr="00344C41" w:rsidRDefault="00A808EB" w:rsidP="005C1B0B">
            <w:pPr>
              <w:jc w:val="center"/>
              <w:rPr>
                <w:color w:val="000000"/>
                <w:sz w:val="20"/>
                <w:szCs w:val="20"/>
                <w:lang w:val="en-MY" w:eastAsia="en-MY"/>
              </w:rPr>
            </w:pPr>
          </w:p>
        </w:tc>
        <w:tc>
          <w:tcPr>
            <w:tcW w:w="796" w:type="dxa"/>
            <w:tcBorders>
              <w:top w:val="single" w:sz="4" w:space="0" w:color="auto"/>
            </w:tcBorders>
            <w:shd w:val="clear" w:color="auto" w:fill="auto"/>
            <w:noWrap/>
            <w:vAlign w:val="center"/>
            <w:hideMark/>
          </w:tcPr>
          <w:p w14:paraId="33224521" w14:textId="77777777" w:rsidR="00A808EB" w:rsidRPr="00344C41" w:rsidRDefault="00A808EB" w:rsidP="005C1B0B">
            <w:pPr>
              <w:jc w:val="center"/>
              <w:rPr>
                <w:color w:val="000000"/>
                <w:sz w:val="20"/>
                <w:szCs w:val="20"/>
                <w:lang w:val="en-MY" w:eastAsia="en-MY"/>
              </w:rPr>
            </w:pPr>
          </w:p>
        </w:tc>
        <w:tc>
          <w:tcPr>
            <w:tcW w:w="666" w:type="dxa"/>
            <w:tcBorders>
              <w:top w:val="single" w:sz="4" w:space="0" w:color="auto"/>
            </w:tcBorders>
            <w:shd w:val="clear" w:color="auto" w:fill="auto"/>
            <w:noWrap/>
            <w:vAlign w:val="center"/>
            <w:hideMark/>
          </w:tcPr>
          <w:p w14:paraId="44C2C812" w14:textId="77777777" w:rsidR="00A808EB" w:rsidRPr="00344C41" w:rsidRDefault="00A808EB" w:rsidP="005C1B0B">
            <w:pPr>
              <w:jc w:val="center"/>
              <w:rPr>
                <w:color w:val="000000"/>
                <w:sz w:val="20"/>
                <w:szCs w:val="20"/>
                <w:lang w:val="en-MY" w:eastAsia="en-MY"/>
              </w:rPr>
            </w:pPr>
          </w:p>
        </w:tc>
        <w:tc>
          <w:tcPr>
            <w:tcW w:w="696" w:type="dxa"/>
            <w:tcBorders>
              <w:top w:val="single" w:sz="4" w:space="0" w:color="auto"/>
            </w:tcBorders>
            <w:shd w:val="clear" w:color="auto" w:fill="auto"/>
            <w:noWrap/>
            <w:vAlign w:val="center"/>
            <w:hideMark/>
          </w:tcPr>
          <w:p w14:paraId="7F824682" w14:textId="77777777" w:rsidR="00A808EB" w:rsidRPr="00344C41" w:rsidRDefault="00A808EB" w:rsidP="005C1B0B">
            <w:pPr>
              <w:jc w:val="center"/>
              <w:rPr>
                <w:color w:val="000000"/>
                <w:sz w:val="20"/>
                <w:szCs w:val="20"/>
                <w:lang w:val="en-MY" w:eastAsia="en-MY"/>
              </w:rPr>
            </w:pPr>
          </w:p>
        </w:tc>
        <w:tc>
          <w:tcPr>
            <w:tcW w:w="527" w:type="dxa"/>
            <w:tcBorders>
              <w:top w:val="single" w:sz="4" w:space="0" w:color="auto"/>
            </w:tcBorders>
          </w:tcPr>
          <w:p w14:paraId="43D7DF9D" w14:textId="77777777" w:rsidR="00A808EB" w:rsidRPr="00344C41" w:rsidRDefault="00A808EB" w:rsidP="005C1B0B">
            <w:pPr>
              <w:jc w:val="center"/>
              <w:rPr>
                <w:color w:val="000000"/>
                <w:sz w:val="20"/>
                <w:szCs w:val="20"/>
                <w:lang w:val="en-MY" w:eastAsia="en-MY"/>
              </w:rPr>
            </w:pPr>
          </w:p>
        </w:tc>
      </w:tr>
      <w:tr w:rsidR="00A808EB" w:rsidRPr="008D7BEC" w14:paraId="42F56726" w14:textId="77777777" w:rsidTr="005C1B0B">
        <w:trPr>
          <w:trHeight w:val="300"/>
          <w:jc w:val="center"/>
        </w:trPr>
        <w:tc>
          <w:tcPr>
            <w:tcW w:w="639" w:type="dxa"/>
            <w:vMerge w:val="restart"/>
            <w:shd w:val="clear" w:color="auto" w:fill="auto"/>
            <w:hideMark/>
          </w:tcPr>
          <w:p w14:paraId="62BADA90" w14:textId="77777777" w:rsidR="00A808EB" w:rsidRDefault="00A808EB" w:rsidP="005C1B0B">
            <w:pPr>
              <w:jc w:val="center"/>
              <w:rPr>
                <w:color w:val="000000"/>
                <w:sz w:val="20"/>
                <w:szCs w:val="20"/>
                <w:lang w:val="en-MY" w:eastAsia="en-MY"/>
              </w:rPr>
            </w:pPr>
          </w:p>
          <w:p w14:paraId="355FB030"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ROE</w:t>
            </w:r>
          </w:p>
        </w:tc>
        <w:tc>
          <w:tcPr>
            <w:tcW w:w="796" w:type="dxa"/>
            <w:shd w:val="clear" w:color="auto" w:fill="auto"/>
            <w:noWrap/>
            <w:vAlign w:val="center"/>
            <w:hideMark/>
          </w:tcPr>
          <w:p w14:paraId="32F6EE2A" w14:textId="77777777" w:rsidR="00A808EB" w:rsidRPr="008D7BEC" w:rsidRDefault="00A808EB" w:rsidP="005C1B0B">
            <w:pPr>
              <w:jc w:val="center"/>
              <w:rPr>
                <w:b/>
                <w:bCs/>
                <w:color w:val="000000"/>
                <w:sz w:val="20"/>
                <w:szCs w:val="20"/>
                <w:lang w:val="en-MY" w:eastAsia="en-MY"/>
              </w:rPr>
            </w:pPr>
          </w:p>
          <w:p w14:paraId="461B9B19"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0.933</w:t>
            </w:r>
            <w:r w:rsidRPr="008D7BEC">
              <w:rPr>
                <w:b/>
                <w:bCs/>
                <w:color w:val="000000"/>
                <w:sz w:val="20"/>
                <w:szCs w:val="20"/>
                <w:vertAlign w:val="superscript"/>
                <w:lang w:val="en-MY" w:eastAsia="en-MY"/>
              </w:rPr>
              <w:t>**</w:t>
            </w:r>
          </w:p>
        </w:tc>
        <w:tc>
          <w:tcPr>
            <w:tcW w:w="796" w:type="dxa"/>
            <w:shd w:val="clear" w:color="auto" w:fill="auto"/>
            <w:noWrap/>
            <w:vAlign w:val="center"/>
            <w:hideMark/>
          </w:tcPr>
          <w:p w14:paraId="2C19DFC1" w14:textId="77777777" w:rsidR="00A808EB" w:rsidRPr="008D7BEC" w:rsidRDefault="00A808EB" w:rsidP="005C1B0B">
            <w:pPr>
              <w:jc w:val="center"/>
              <w:rPr>
                <w:b/>
                <w:bCs/>
                <w:color w:val="000000"/>
                <w:sz w:val="20"/>
                <w:szCs w:val="20"/>
                <w:lang w:val="en-MY" w:eastAsia="en-MY"/>
              </w:rPr>
            </w:pPr>
          </w:p>
          <w:p w14:paraId="77A9C880"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1</w:t>
            </w:r>
          </w:p>
        </w:tc>
        <w:tc>
          <w:tcPr>
            <w:tcW w:w="796" w:type="dxa"/>
            <w:shd w:val="clear" w:color="auto" w:fill="auto"/>
            <w:noWrap/>
            <w:vAlign w:val="center"/>
            <w:hideMark/>
          </w:tcPr>
          <w:p w14:paraId="477DCB17"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3FE4FD1C" w14:textId="77777777" w:rsidR="00A808EB" w:rsidRPr="008D7BEC" w:rsidRDefault="00A808EB" w:rsidP="005C1B0B">
            <w:pPr>
              <w:jc w:val="center"/>
              <w:rPr>
                <w:color w:val="000000"/>
                <w:sz w:val="20"/>
                <w:szCs w:val="20"/>
                <w:lang w:val="en-MY" w:eastAsia="en-MY"/>
              </w:rPr>
            </w:pPr>
          </w:p>
        </w:tc>
        <w:tc>
          <w:tcPr>
            <w:tcW w:w="666" w:type="dxa"/>
            <w:shd w:val="clear" w:color="auto" w:fill="auto"/>
            <w:noWrap/>
            <w:vAlign w:val="center"/>
            <w:hideMark/>
          </w:tcPr>
          <w:p w14:paraId="4ECEE726"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72867DAF" w14:textId="77777777" w:rsidR="00A808EB" w:rsidRPr="008D7BEC" w:rsidRDefault="00A808EB" w:rsidP="005C1B0B">
            <w:pPr>
              <w:jc w:val="center"/>
              <w:rPr>
                <w:color w:val="000000"/>
                <w:sz w:val="20"/>
                <w:szCs w:val="20"/>
                <w:lang w:val="en-MY" w:eastAsia="en-MY"/>
              </w:rPr>
            </w:pPr>
          </w:p>
        </w:tc>
        <w:tc>
          <w:tcPr>
            <w:tcW w:w="527" w:type="dxa"/>
          </w:tcPr>
          <w:p w14:paraId="2C909D75" w14:textId="77777777" w:rsidR="00A808EB" w:rsidRPr="008D7BEC" w:rsidRDefault="00A808EB" w:rsidP="005C1B0B">
            <w:pPr>
              <w:jc w:val="center"/>
              <w:rPr>
                <w:color w:val="000000"/>
                <w:sz w:val="20"/>
                <w:szCs w:val="20"/>
                <w:lang w:val="en-MY" w:eastAsia="en-MY"/>
              </w:rPr>
            </w:pPr>
          </w:p>
        </w:tc>
      </w:tr>
      <w:tr w:rsidR="00A808EB" w:rsidRPr="008D7BEC" w14:paraId="7CFBE480" w14:textId="77777777" w:rsidTr="005C1B0B">
        <w:trPr>
          <w:trHeight w:val="300"/>
          <w:jc w:val="center"/>
        </w:trPr>
        <w:tc>
          <w:tcPr>
            <w:tcW w:w="639" w:type="dxa"/>
            <w:vMerge/>
            <w:vAlign w:val="center"/>
            <w:hideMark/>
          </w:tcPr>
          <w:p w14:paraId="5B82E7E2"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4806A317"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0.</w:t>
            </w:r>
            <w:r w:rsidRPr="008D7BEC">
              <w:rPr>
                <w:i/>
                <w:iCs/>
                <w:color w:val="000000"/>
                <w:sz w:val="20"/>
                <w:szCs w:val="20"/>
                <w:lang w:val="en-MY" w:eastAsia="en-MY"/>
              </w:rPr>
              <w:t>000</w:t>
            </w:r>
          </w:p>
        </w:tc>
        <w:tc>
          <w:tcPr>
            <w:tcW w:w="796" w:type="dxa"/>
            <w:shd w:val="clear" w:color="auto" w:fill="auto"/>
            <w:vAlign w:val="center"/>
            <w:hideMark/>
          </w:tcPr>
          <w:p w14:paraId="41AB88F7"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6CB23CE0"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0CD652B7" w14:textId="77777777" w:rsidR="00A808EB" w:rsidRPr="008D7BEC" w:rsidRDefault="00A808EB" w:rsidP="005C1B0B">
            <w:pPr>
              <w:jc w:val="center"/>
              <w:rPr>
                <w:color w:val="000000"/>
                <w:sz w:val="20"/>
                <w:szCs w:val="20"/>
                <w:lang w:val="en-MY" w:eastAsia="en-MY"/>
              </w:rPr>
            </w:pPr>
          </w:p>
        </w:tc>
        <w:tc>
          <w:tcPr>
            <w:tcW w:w="666" w:type="dxa"/>
            <w:shd w:val="clear" w:color="auto" w:fill="auto"/>
            <w:noWrap/>
            <w:vAlign w:val="center"/>
            <w:hideMark/>
          </w:tcPr>
          <w:p w14:paraId="152FFB58"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6CCA0FAB" w14:textId="77777777" w:rsidR="00A808EB" w:rsidRPr="008D7BEC" w:rsidRDefault="00A808EB" w:rsidP="005C1B0B">
            <w:pPr>
              <w:jc w:val="center"/>
              <w:rPr>
                <w:color w:val="000000"/>
                <w:sz w:val="20"/>
                <w:szCs w:val="20"/>
                <w:lang w:val="en-MY" w:eastAsia="en-MY"/>
              </w:rPr>
            </w:pPr>
          </w:p>
        </w:tc>
        <w:tc>
          <w:tcPr>
            <w:tcW w:w="527" w:type="dxa"/>
          </w:tcPr>
          <w:p w14:paraId="1EC815E0" w14:textId="77777777" w:rsidR="00A808EB" w:rsidRPr="008D7BEC" w:rsidRDefault="00A808EB" w:rsidP="005C1B0B">
            <w:pPr>
              <w:jc w:val="center"/>
              <w:rPr>
                <w:color w:val="000000"/>
                <w:sz w:val="20"/>
                <w:szCs w:val="20"/>
                <w:lang w:val="en-MY" w:eastAsia="en-MY"/>
              </w:rPr>
            </w:pPr>
          </w:p>
        </w:tc>
      </w:tr>
      <w:tr w:rsidR="00A808EB" w:rsidRPr="008D7BEC" w14:paraId="5C4BC12A" w14:textId="77777777" w:rsidTr="005C1B0B">
        <w:trPr>
          <w:trHeight w:val="300"/>
          <w:jc w:val="center"/>
        </w:trPr>
        <w:tc>
          <w:tcPr>
            <w:tcW w:w="639" w:type="dxa"/>
            <w:vMerge w:val="restart"/>
            <w:shd w:val="clear" w:color="auto" w:fill="auto"/>
            <w:hideMark/>
          </w:tcPr>
          <w:p w14:paraId="6679F031" w14:textId="77777777" w:rsidR="00A808EB" w:rsidRPr="008D7BEC" w:rsidRDefault="00A808EB" w:rsidP="005C1B0B">
            <w:pPr>
              <w:jc w:val="center"/>
              <w:rPr>
                <w:color w:val="000000"/>
                <w:sz w:val="20"/>
                <w:szCs w:val="20"/>
                <w:lang w:val="en-MY" w:eastAsia="en-MY"/>
              </w:rPr>
            </w:pPr>
          </w:p>
          <w:p w14:paraId="6F008501"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HCe</w:t>
            </w:r>
          </w:p>
        </w:tc>
        <w:tc>
          <w:tcPr>
            <w:tcW w:w="796" w:type="dxa"/>
            <w:shd w:val="clear" w:color="auto" w:fill="auto"/>
            <w:noWrap/>
            <w:vAlign w:val="center"/>
            <w:hideMark/>
          </w:tcPr>
          <w:p w14:paraId="01FB6536" w14:textId="77777777" w:rsidR="00A808EB" w:rsidRPr="008D7BEC" w:rsidRDefault="00A808EB" w:rsidP="005C1B0B">
            <w:pPr>
              <w:jc w:val="center"/>
              <w:rPr>
                <w:b/>
                <w:bCs/>
                <w:color w:val="000000"/>
                <w:sz w:val="20"/>
                <w:szCs w:val="20"/>
                <w:lang w:val="en-MY" w:eastAsia="en-MY"/>
              </w:rPr>
            </w:pPr>
          </w:p>
          <w:p w14:paraId="2466872F"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0.829</w:t>
            </w:r>
            <w:r w:rsidRPr="008D7BEC">
              <w:rPr>
                <w:b/>
                <w:bCs/>
                <w:color w:val="000000"/>
                <w:sz w:val="20"/>
                <w:szCs w:val="20"/>
                <w:vertAlign w:val="superscript"/>
                <w:lang w:val="en-MY" w:eastAsia="en-MY"/>
              </w:rPr>
              <w:t>**</w:t>
            </w:r>
          </w:p>
        </w:tc>
        <w:tc>
          <w:tcPr>
            <w:tcW w:w="796" w:type="dxa"/>
            <w:shd w:val="clear" w:color="auto" w:fill="auto"/>
            <w:noWrap/>
            <w:vAlign w:val="center"/>
            <w:hideMark/>
          </w:tcPr>
          <w:p w14:paraId="0C5CE342" w14:textId="77777777" w:rsidR="00A808EB" w:rsidRPr="008D7BEC" w:rsidRDefault="00A808EB" w:rsidP="005C1B0B">
            <w:pPr>
              <w:jc w:val="center"/>
              <w:rPr>
                <w:b/>
                <w:bCs/>
                <w:color w:val="000000"/>
                <w:sz w:val="20"/>
                <w:szCs w:val="20"/>
                <w:lang w:val="en-MY" w:eastAsia="en-MY"/>
              </w:rPr>
            </w:pPr>
          </w:p>
          <w:p w14:paraId="62870289"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0.815</w:t>
            </w:r>
            <w:r w:rsidRPr="008D7BEC">
              <w:rPr>
                <w:b/>
                <w:bCs/>
                <w:color w:val="000000"/>
                <w:sz w:val="20"/>
                <w:szCs w:val="20"/>
                <w:vertAlign w:val="superscript"/>
                <w:lang w:val="en-MY" w:eastAsia="en-MY"/>
              </w:rPr>
              <w:t>**</w:t>
            </w:r>
          </w:p>
        </w:tc>
        <w:tc>
          <w:tcPr>
            <w:tcW w:w="796" w:type="dxa"/>
            <w:shd w:val="clear" w:color="auto" w:fill="auto"/>
            <w:noWrap/>
            <w:vAlign w:val="center"/>
            <w:hideMark/>
          </w:tcPr>
          <w:p w14:paraId="70793E5F" w14:textId="77777777" w:rsidR="00A808EB" w:rsidRPr="008D7BEC" w:rsidRDefault="00A808EB" w:rsidP="005C1B0B">
            <w:pPr>
              <w:jc w:val="center"/>
              <w:rPr>
                <w:b/>
                <w:bCs/>
                <w:color w:val="000000"/>
                <w:sz w:val="20"/>
                <w:szCs w:val="20"/>
                <w:lang w:val="en-MY" w:eastAsia="en-MY"/>
              </w:rPr>
            </w:pPr>
          </w:p>
          <w:p w14:paraId="765AC555"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1</w:t>
            </w:r>
          </w:p>
        </w:tc>
        <w:tc>
          <w:tcPr>
            <w:tcW w:w="796" w:type="dxa"/>
            <w:shd w:val="clear" w:color="auto" w:fill="auto"/>
            <w:noWrap/>
            <w:vAlign w:val="center"/>
            <w:hideMark/>
          </w:tcPr>
          <w:p w14:paraId="135153C7" w14:textId="77777777" w:rsidR="00A808EB" w:rsidRPr="008D7BEC" w:rsidRDefault="00A808EB" w:rsidP="005C1B0B">
            <w:pPr>
              <w:jc w:val="center"/>
              <w:rPr>
                <w:color w:val="000000"/>
                <w:sz w:val="20"/>
                <w:szCs w:val="20"/>
                <w:lang w:val="en-MY" w:eastAsia="en-MY"/>
              </w:rPr>
            </w:pPr>
          </w:p>
        </w:tc>
        <w:tc>
          <w:tcPr>
            <w:tcW w:w="666" w:type="dxa"/>
            <w:shd w:val="clear" w:color="auto" w:fill="auto"/>
            <w:noWrap/>
            <w:vAlign w:val="center"/>
            <w:hideMark/>
          </w:tcPr>
          <w:p w14:paraId="3207C38C"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6EE5ABEC" w14:textId="77777777" w:rsidR="00A808EB" w:rsidRPr="008D7BEC" w:rsidRDefault="00A808EB" w:rsidP="005C1B0B">
            <w:pPr>
              <w:jc w:val="center"/>
              <w:rPr>
                <w:color w:val="000000"/>
                <w:sz w:val="20"/>
                <w:szCs w:val="20"/>
                <w:lang w:val="en-MY" w:eastAsia="en-MY"/>
              </w:rPr>
            </w:pPr>
          </w:p>
        </w:tc>
        <w:tc>
          <w:tcPr>
            <w:tcW w:w="527" w:type="dxa"/>
          </w:tcPr>
          <w:p w14:paraId="7C01634F" w14:textId="77777777" w:rsidR="00A808EB" w:rsidRPr="008D7BEC" w:rsidRDefault="00A808EB" w:rsidP="005C1B0B">
            <w:pPr>
              <w:jc w:val="center"/>
              <w:rPr>
                <w:color w:val="000000"/>
                <w:sz w:val="20"/>
                <w:szCs w:val="20"/>
                <w:lang w:val="en-MY" w:eastAsia="en-MY"/>
              </w:rPr>
            </w:pPr>
          </w:p>
        </w:tc>
      </w:tr>
      <w:tr w:rsidR="00A808EB" w:rsidRPr="008D7BEC" w14:paraId="424373A6" w14:textId="77777777" w:rsidTr="005C1B0B">
        <w:trPr>
          <w:trHeight w:val="300"/>
          <w:jc w:val="center"/>
        </w:trPr>
        <w:tc>
          <w:tcPr>
            <w:tcW w:w="639" w:type="dxa"/>
            <w:vMerge/>
            <w:vAlign w:val="center"/>
            <w:hideMark/>
          </w:tcPr>
          <w:p w14:paraId="613E3EA6"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2BF650B4"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0.000</w:t>
            </w:r>
          </w:p>
        </w:tc>
        <w:tc>
          <w:tcPr>
            <w:tcW w:w="796" w:type="dxa"/>
            <w:shd w:val="clear" w:color="auto" w:fill="auto"/>
            <w:noWrap/>
            <w:vAlign w:val="center"/>
            <w:hideMark/>
          </w:tcPr>
          <w:p w14:paraId="2382E089"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0.000</w:t>
            </w:r>
          </w:p>
        </w:tc>
        <w:tc>
          <w:tcPr>
            <w:tcW w:w="796" w:type="dxa"/>
            <w:shd w:val="clear" w:color="auto" w:fill="auto"/>
            <w:vAlign w:val="center"/>
            <w:hideMark/>
          </w:tcPr>
          <w:p w14:paraId="6EECA4C2"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0779A123" w14:textId="77777777" w:rsidR="00A808EB" w:rsidRPr="008D7BEC" w:rsidRDefault="00A808EB" w:rsidP="005C1B0B">
            <w:pPr>
              <w:jc w:val="center"/>
              <w:rPr>
                <w:color w:val="000000"/>
                <w:sz w:val="20"/>
                <w:szCs w:val="20"/>
                <w:lang w:val="en-MY" w:eastAsia="en-MY"/>
              </w:rPr>
            </w:pPr>
          </w:p>
        </w:tc>
        <w:tc>
          <w:tcPr>
            <w:tcW w:w="666" w:type="dxa"/>
            <w:shd w:val="clear" w:color="auto" w:fill="auto"/>
            <w:noWrap/>
            <w:vAlign w:val="center"/>
            <w:hideMark/>
          </w:tcPr>
          <w:p w14:paraId="60277C87"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65E12573" w14:textId="77777777" w:rsidR="00A808EB" w:rsidRPr="008D7BEC" w:rsidRDefault="00A808EB" w:rsidP="005C1B0B">
            <w:pPr>
              <w:jc w:val="center"/>
              <w:rPr>
                <w:color w:val="000000"/>
                <w:sz w:val="20"/>
                <w:szCs w:val="20"/>
                <w:lang w:val="en-MY" w:eastAsia="en-MY"/>
              </w:rPr>
            </w:pPr>
          </w:p>
        </w:tc>
        <w:tc>
          <w:tcPr>
            <w:tcW w:w="527" w:type="dxa"/>
          </w:tcPr>
          <w:p w14:paraId="0966A7E3" w14:textId="77777777" w:rsidR="00A808EB" w:rsidRPr="008D7BEC" w:rsidRDefault="00A808EB" w:rsidP="005C1B0B">
            <w:pPr>
              <w:jc w:val="center"/>
              <w:rPr>
                <w:color w:val="000000"/>
                <w:sz w:val="20"/>
                <w:szCs w:val="20"/>
                <w:lang w:val="en-MY" w:eastAsia="en-MY"/>
              </w:rPr>
            </w:pPr>
          </w:p>
        </w:tc>
      </w:tr>
      <w:tr w:rsidR="00A808EB" w:rsidRPr="008D7BEC" w14:paraId="70D6DE40" w14:textId="77777777" w:rsidTr="005C1B0B">
        <w:trPr>
          <w:trHeight w:val="300"/>
          <w:jc w:val="center"/>
        </w:trPr>
        <w:tc>
          <w:tcPr>
            <w:tcW w:w="639" w:type="dxa"/>
            <w:vMerge w:val="restart"/>
            <w:shd w:val="clear" w:color="auto" w:fill="auto"/>
            <w:hideMark/>
          </w:tcPr>
          <w:p w14:paraId="30B88C62" w14:textId="77777777" w:rsidR="00A808EB" w:rsidRPr="008D7BEC" w:rsidRDefault="00A808EB" w:rsidP="005C1B0B">
            <w:pPr>
              <w:jc w:val="center"/>
              <w:rPr>
                <w:color w:val="000000"/>
                <w:sz w:val="20"/>
                <w:szCs w:val="20"/>
                <w:lang w:val="en-MY" w:eastAsia="en-MY"/>
              </w:rPr>
            </w:pPr>
          </w:p>
          <w:p w14:paraId="32EE66B7"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SCe</w:t>
            </w:r>
          </w:p>
        </w:tc>
        <w:tc>
          <w:tcPr>
            <w:tcW w:w="796" w:type="dxa"/>
            <w:shd w:val="clear" w:color="auto" w:fill="auto"/>
            <w:noWrap/>
            <w:vAlign w:val="center"/>
            <w:hideMark/>
          </w:tcPr>
          <w:p w14:paraId="7EE74F85" w14:textId="77777777" w:rsidR="00A808EB" w:rsidRPr="008D7BEC" w:rsidRDefault="00A808EB" w:rsidP="005C1B0B">
            <w:pPr>
              <w:jc w:val="center"/>
              <w:rPr>
                <w:b/>
                <w:bCs/>
                <w:color w:val="000000"/>
                <w:sz w:val="20"/>
                <w:szCs w:val="20"/>
                <w:lang w:val="en-MY" w:eastAsia="en-MY"/>
              </w:rPr>
            </w:pPr>
          </w:p>
          <w:p w14:paraId="0AE2A7BE"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0.345</w:t>
            </w:r>
            <w:r w:rsidRPr="008D7BEC">
              <w:rPr>
                <w:b/>
                <w:bCs/>
                <w:color w:val="000000"/>
                <w:sz w:val="20"/>
                <w:szCs w:val="20"/>
                <w:vertAlign w:val="superscript"/>
                <w:lang w:val="en-MY" w:eastAsia="en-MY"/>
              </w:rPr>
              <w:t>*</w:t>
            </w:r>
          </w:p>
        </w:tc>
        <w:tc>
          <w:tcPr>
            <w:tcW w:w="796" w:type="dxa"/>
            <w:shd w:val="clear" w:color="auto" w:fill="auto"/>
            <w:noWrap/>
            <w:vAlign w:val="center"/>
            <w:hideMark/>
          </w:tcPr>
          <w:p w14:paraId="3449D268" w14:textId="77777777" w:rsidR="00A808EB" w:rsidRPr="008D7BEC" w:rsidRDefault="00A808EB" w:rsidP="005C1B0B">
            <w:pPr>
              <w:jc w:val="center"/>
              <w:rPr>
                <w:b/>
                <w:bCs/>
                <w:color w:val="000000"/>
                <w:sz w:val="20"/>
                <w:szCs w:val="20"/>
                <w:lang w:val="en-MY" w:eastAsia="en-MY"/>
              </w:rPr>
            </w:pPr>
          </w:p>
          <w:p w14:paraId="0F19A3F8"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0.498</w:t>
            </w:r>
            <w:r w:rsidRPr="008D7BEC">
              <w:rPr>
                <w:b/>
                <w:bCs/>
                <w:color w:val="000000"/>
                <w:sz w:val="20"/>
                <w:szCs w:val="20"/>
                <w:vertAlign w:val="superscript"/>
                <w:lang w:val="en-MY" w:eastAsia="en-MY"/>
              </w:rPr>
              <w:t>**</w:t>
            </w:r>
          </w:p>
        </w:tc>
        <w:tc>
          <w:tcPr>
            <w:tcW w:w="796" w:type="dxa"/>
            <w:shd w:val="clear" w:color="auto" w:fill="auto"/>
            <w:noWrap/>
            <w:vAlign w:val="center"/>
            <w:hideMark/>
          </w:tcPr>
          <w:p w14:paraId="65B41FCF" w14:textId="77777777" w:rsidR="00A808EB" w:rsidRPr="008D7BEC" w:rsidRDefault="00A808EB" w:rsidP="005C1B0B">
            <w:pPr>
              <w:jc w:val="center"/>
              <w:rPr>
                <w:b/>
                <w:bCs/>
                <w:color w:val="000000"/>
                <w:sz w:val="20"/>
                <w:szCs w:val="20"/>
                <w:lang w:val="en-MY" w:eastAsia="en-MY"/>
              </w:rPr>
            </w:pPr>
          </w:p>
          <w:p w14:paraId="4A352350"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0.563</w:t>
            </w:r>
            <w:r w:rsidRPr="008D7BEC">
              <w:rPr>
                <w:b/>
                <w:bCs/>
                <w:color w:val="000000"/>
                <w:sz w:val="20"/>
                <w:szCs w:val="20"/>
                <w:vertAlign w:val="superscript"/>
                <w:lang w:val="en-MY" w:eastAsia="en-MY"/>
              </w:rPr>
              <w:t>**</w:t>
            </w:r>
          </w:p>
        </w:tc>
        <w:tc>
          <w:tcPr>
            <w:tcW w:w="796" w:type="dxa"/>
            <w:shd w:val="clear" w:color="auto" w:fill="auto"/>
            <w:noWrap/>
            <w:vAlign w:val="center"/>
            <w:hideMark/>
          </w:tcPr>
          <w:p w14:paraId="7398891A" w14:textId="77777777" w:rsidR="00A808EB" w:rsidRPr="008D7BEC" w:rsidRDefault="00A808EB" w:rsidP="005C1B0B">
            <w:pPr>
              <w:jc w:val="center"/>
              <w:rPr>
                <w:b/>
                <w:bCs/>
                <w:color w:val="000000"/>
                <w:sz w:val="20"/>
                <w:szCs w:val="20"/>
                <w:lang w:val="en-MY" w:eastAsia="en-MY"/>
              </w:rPr>
            </w:pPr>
          </w:p>
          <w:p w14:paraId="3DD0B0DE"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1</w:t>
            </w:r>
          </w:p>
        </w:tc>
        <w:tc>
          <w:tcPr>
            <w:tcW w:w="666" w:type="dxa"/>
            <w:shd w:val="clear" w:color="auto" w:fill="auto"/>
            <w:noWrap/>
            <w:vAlign w:val="center"/>
            <w:hideMark/>
          </w:tcPr>
          <w:p w14:paraId="0A1E0965"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3D5B2BE0" w14:textId="77777777" w:rsidR="00A808EB" w:rsidRPr="008D7BEC" w:rsidRDefault="00A808EB" w:rsidP="005C1B0B">
            <w:pPr>
              <w:jc w:val="center"/>
              <w:rPr>
                <w:color w:val="000000"/>
                <w:sz w:val="20"/>
                <w:szCs w:val="20"/>
                <w:lang w:val="en-MY" w:eastAsia="en-MY"/>
              </w:rPr>
            </w:pPr>
          </w:p>
        </w:tc>
        <w:tc>
          <w:tcPr>
            <w:tcW w:w="527" w:type="dxa"/>
          </w:tcPr>
          <w:p w14:paraId="6DAF1573" w14:textId="77777777" w:rsidR="00A808EB" w:rsidRPr="008D7BEC" w:rsidRDefault="00A808EB" w:rsidP="005C1B0B">
            <w:pPr>
              <w:jc w:val="center"/>
              <w:rPr>
                <w:color w:val="000000"/>
                <w:sz w:val="20"/>
                <w:szCs w:val="20"/>
                <w:lang w:val="en-MY" w:eastAsia="en-MY"/>
              </w:rPr>
            </w:pPr>
          </w:p>
        </w:tc>
      </w:tr>
      <w:tr w:rsidR="00A808EB" w:rsidRPr="008D7BEC" w14:paraId="20034465" w14:textId="77777777" w:rsidTr="005C1B0B">
        <w:trPr>
          <w:trHeight w:val="300"/>
          <w:jc w:val="center"/>
        </w:trPr>
        <w:tc>
          <w:tcPr>
            <w:tcW w:w="639" w:type="dxa"/>
            <w:vMerge/>
            <w:vAlign w:val="center"/>
            <w:hideMark/>
          </w:tcPr>
          <w:p w14:paraId="7E1938A7"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289F652A"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0.036</w:t>
            </w:r>
          </w:p>
        </w:tc>
        <w:tc>
          <w:tcPr>
            <w:tcW w:w="796" w:type="dxa"/>
            <w:shd w:val="clear" w:color="auto" w:fill="auto"/>
            <w:noWrap/>
            <w:vAlign w:val="center"/>
            <w:hideMark/>
          </w:tcPr>
          <w:p w14:paraId="05F8D7E6"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0.002</w:t>
            </w:r>
          </w:p>
        </w:tc>
        <w:tc>
          <w:tcPr>
            <w:tcW w:w="796" w:type="dxa"/>
            <w:shd w:val="clear" w:color="auto" w:fill="auto"/>
            <w:noWrap/>
            <w:vAlign w:val="center"/>
            <w:hideMark/>
          </w:tcPr>
          <w:p w14:paraId="367F4BA7"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0.000</w:t>
            </w:r>
          </w:p>
        </w:tc>
        <w:tc>
          <w:tcPr>
            <w:tcW w:w="796" w:type="dxa"/>
            <w:shd w:val="clear" w:color="auto" w:fill="auto"/>
            <w:vAlign w:val="center"/>
            <w:hideMark/>
          </w:tcPr>
          <w:p w14:paraId="4C8608E1" w14:textId="77777777" w:rsidR="00A808EB" w:rsidRPr="008D7BEC" w:rsidRDefault="00A808EB" w:rsidP="005C1B0B">
            <w:pPr>
              <w:jc w:val="center"/>
              <w:rPr>
                <w:color w:val="000000"/>
                <w:sz w:val="20"/>
                <w:szCs w:val="20"/>
                <w:lang w:val="en-MY" w:eastAsia="en-MY"/>
              </w:rPr>
            </w:pPr>
          </w:p>
        </w:tc>
        <w:tc>
          <w:tcPr>
            <w:tcW w:w="666" w:type="dxa"/>
            <w:shd w:val="clear" w:color="auto" w:fill="auto"/>
            <w:noWrap/>
            <w:vAlign w:val="center"/>
            <w:hideMark/>
          </w:tcPr>
          <w:p w14:paraId="4D0F76F4"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655358F6" w14:textId="77777777" w:rsidR="00A808EB" w:rsidRPr="008D7BEC" w:rsidRDefault="00A808EB" w:rsidP="005C1B0B">
            <w:pPr>
              <w:jc w:val="center"/>
              <w:rPr>
                <w:color w:val="000000"/>
                <w:sz w:val="20"/>
                <w:szCs w:val="20"/>
                <w:lang w:val="en-MY" w:eastAsia="en-MY"/>
              </w:rPr>
            </w:pPr>
          </w:p>
        </w:tc>
        <w:tc>
          <w:tcPr>
            <w:tcW w:w="527" w:type="dxa"/>
          </w:tcPr>
          <w:p w14:paraId="4988CBE7" w14:textId="77777777" w:rsidR="00A808EB" w:rsidRPr="008D7BEC" w:rsidRDefault="00A808EB" w:rsidP="005C1B0B">
            <w:pPr>
              <w:jc w:val="center"/>
              <w:rPr>
                <w:color w:val="000000"/>
                <w:sz w:val="20"/>
                <w:szCs w:val="20"/>
                <w:lang w:val="en-MY" w:eastAsia="en-MY"/>
              </w:rPr>
            </w:pPr>
          </w:p>
        </w:tc>
      </w:tr>
      <w:tr w:rsidR="00A808EB" w:rsidRPr="008D7BEC" w14:paraId="0825F553" w14:textId="77777777" w:rsidTr="005C1B0B">
        <w:trPr>
          <w:trHeight w:val="300"/>
          <w:jc w:val="center"/>
        </w:trPr>
        <w:tc>
          <w:tcPr>
            <w:tcW w:w="639" w:type="dxa"/>
            <w:vMerge w:val="restart"/>
            <w:shd w:val="clear" w:color="auto" w:fill="auto"/>
            <w:hideMark/>
          </w:tcPr>
          <w:p w14:paraId="3863AA9D" w14:textId="77777777" w:rsidR="00A808EB" w:rsidRPr="008D7BEC" w:rsidRDefault="00A808EB" w:rsidP="005C1B0B">
            <w:pPr>
              <w:jc w:val="center"/>
              <w:rPr>
                <w:color w:val="000000"/>
                <w:sz w:val="20"/>
                <w:szCs w:val="20"/>
                <w:lang w:val="en-MY" w:eastAsia="en-MY"/>
              </w:rPr>
            </w:pPr>
          </w:p>
          <w:p w14:paraId="62950D4B"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CEe</w:t>
            </w:r>
          </w:p>
        </w:tc>
        <w:tc>
          <w:tcPr>
            <w:tcW w:w="796" w:type="dxa"/>
            <w:shd w:val="clear" w:color="auto" w:fill="auto"/>
            <w:noWrap/>
            <w:vAlign w:val="center"/>
            <w:hideMark/>
          </w:tcPr>
          <w:p w14:paraId="0B2BE24C" w14:textId="77777777" w:rsidR="00A808EB" w:rsidRPr="008D7BEC" w:rsidRDefault="00A808EB" w:rsidP="005C1B0B">
            <w:pPr>
              <w:jc w:val="center"/>
              <w:rPr>
                <w:b/>
                <w:bCs/>
                <w:color w:val="000000"/>
                <w:sz w:val="20"/>
                <w:szCs w:val="20"/>
                <w:lang w:val="en-MY" w:eastAsia="en-MY"/>
              </w:rPr>
            </w:pPr>
          </w:p>
          <w:p w14:paraId="2D952E3D"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0.648</w:t>
            </w:r>
            <w:r w:rsidRPr="008D7BEC">
              <w:rPr>
                <w:b/>
                <w:bCs/>
                <w:color w:val="000000"/>
                <w:sz w:val="20"/>
                <w:szCs w:val="20"/>
                <w:vertAlign w:val="superscript"/>
                <w:lang w:val="en-MY" w:eastAsia="en-MY"/>
              </w:rPr>
              <w:t>**</w:t>
            </w:r>
          </w:p>
        </w:tc>
        <w:tc>
          <w:tcPr>
            <w:tcW w:w="796" w:type="dxa"/>
            <w:shd w:val="clear" w:color="auto" w:fill="auto"/>
            <w:noWrap/>
            <w:vAlign w:val="center"/>
            <w:hideMark/>
          </w:tcPr>
          <w:p w14:paraId="4F1BAF94" w14:textId="77777777" w:rsidR="00A808EB" w:rsidRPr="008D7BEC" w:rsidRDefault="00A808EB" w:rsidP="005C1B0B">
            <w:pPr>
              <w:jc w:val="center"/>
              <w:rPr>
                <w:b/>
                <w:bCs/>
                <w:color w:val="000000"/>
                <w:sz w:val="20"/>
                <w:szCs w:val="20"/>
                <w:lang w:val="en-MY" w:eastAsia="en-MY"/>
              </w:rPr>
            </w:pPr>
          </w:p>
          <w:p w14:paraId="742B9D4D"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0.571</w:t>
            </w:r>
            <w:r w:rsidRPr="008D7BEC">
              <w:rPr>
                <w:b/>
                <w:bCs/>
                <w:color w:val="000000"/>
                <w:sz w:val="20"/>
                <w:szCs w:val="20"/>
                <w:vertAlign w:val="superscript"/>
                <w:lang w:val="en-MY" w:eastAsia="en-MY"/>
              </w:rPr>
              <w:t>**</w:t>
            </w:r>
          </w:p>
        </w:tc>
        <w:tc>
          <w:tcPr>
            <w:tcW w:w="796" w:type="dxa"/>
            <w:shd w:val="clear" w:color="auto" w:fill="auto"/>
            <w:noWrap/>
            <w:vAlign w:val="center"/>
            <w:hideMark/>
          </w:tcPr>
          <w:p w14:paraId="483E7953" w14:textId="77777777" w:rsidR="00A808EB" w:rsidRPr="008D7BEC" w:rsidRDefault="00A808EB" w:rsidP="005C1B0B">
            <w:pPr>
              <w:jc w:val="center"/>
              <w:rPr>
                <w:b/>
                <w:bCs/>
                <w:color w:val="000000"/>
                <w:sz w:val="20"/>
                <w:szCs w:val="20"/>
                <w:lang w:val="en-MY" w:eastAsia="en-MY"/>
              </w:rPr>
            </w:pPr>
          </w:p>
          <w:p w14:paraId="1FC143CA"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0.475</w:t>
            </w:r>
            <w:r w:rsidRPr="008D7BEC">
              <w:rPr>
                <w:b/>
                <w:bCs/>
                <w:color w:val="000000"/>
                <w:sz w:val="20"/>
                <w:szCs w:val="20"/>
                <w:vertAlign w:val="superscript"/>
                <w:lang w:val="en-MY" w:eastAsia="en-MY"/>
              </w:rPr>
              <w:t>**</w:t>
            </w:r>
          </w:p>
        </w:tc>
        <w:tc>
          <w:tcPr>
            <w:tcW w:w="796" w:type="dxa"/>
            <w:shd w:val="clear" w:color="auto" w:fill="auto"/>
            <w:noWrap/>
            <w:vAlign w:val="center"/>
            <w:hideMark/>
          </w:tcPr>
          <w:p w14:paraId="54525FAB" w14:textId="77777777" w:rsidR="00A808EB" w:rsidRPr="008D7BEC" w:rsidRDefault="00A808EB" w:rsidP="005C1B0B">
            <w:pPr>
              <w:jc w:val="center"/>
              <w:rPr>
                <w:b/>
                <w:bCs/>
                <w:color w:val="000000"/>
                <w:sz w:val="20"/>
                <w:szCs w:val="20"/>
                <w:lang w:val="en-MY" w:eastAsia="en-MY"/>
              </w:rPr>
            </w:pPr>
          </w:p>
          <w:p w14:paraId="772D014E"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-0.013</w:t>
            </w:r>
          </w:p>
        </w:tc>
        <w:tc>
          <w:tcPr>
            <w:tcW w:w="666" w:type="dxa"/>
            <w:shd w:val="clear" w:color="auto" w:fill="auto"/>
            <w:noWrap/>
            <w:vAlign w:val="center"/>
            <w:hideMark/>
          </w:tcPr>
          <w:p w14:paraId="1497F38B" w14:textId="77777777" w:rsidR="00A808EB" w:rsidRPr="008D7BEC" w:rsidRDefault="00A808EB" w:rsidP="005C1B0B">
            <w:pPr>
              <w:jc w:val="center"/>
              <w:rPr>
                <w:b/>
                <w:bCs/>
                <w:color w:val="000000"/>
                <w:sz w:val="20"/>
                <w:szCs w:val="20"/>
                <w:lang w:val="en-MY" w:eastAsia="en-MY"/>
              </w:rPr>
            </w:pPr>
          </w:p>
          <w:p w14:paraId="2466C5AF"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1</w:t>
            </w:r>
          </w:p>
        </w:tc>
        <w:tc>
          <w:tcPr>
            <w:tcW w:w="696" w:type="dxa"/>
            <w:shd w:val="clear" w:color="auto" w:fill="auto"/>
            <w:noWrap/>
            <w:vAlign w:val="center"/>
            <w:hideMark/>
          </w:tcPr>
          <w:p w14:paraId="15BA882B" w14:textId="77777777" w:rsidR="00A808EB" w:rsidRPr="008D7BEC" w:rsidRDefault="00A808EB" w:rsidP="005C1B0B">
            <w:pPr>
              <w:jc w:val="center"/>
              <w:rPr>
                <w:color w:val="000000"/>
                <w:sz w:val="20"/>
                <w:szCs w:val="20"/>
                <w:lang w:val="en-MY" w:eastAsia="en-MY"/>
              </w:rPr>
            </w:pPr>
          </w:p>
        </w:tc>
        <w:tc>
          <w:tcPr>
            <w:tcW w:w="527" w:type="dxa"/>
          </w:tcPr>
          <w:p w14:paraId="300698F0" w14:textId="77777777" w:rsidR="00A808EB" w:rsidRPr="008D7BEC" w:rsidRDefault="00A808EB" w:rsidP="005C1B0B">
            <w:pPr>
              <w:jc w:val="center"/>
              <w:rPr>
                <w:color w:val="000000"/>
                <w:sz w:val="20"/>
                <w:szCs w:val="20"/>
                <w:lang w:val="en-MY" w:eastAsia="en-MY"/>
              </w:rPr>
            </w:pPr>
          </w:p>
        </w:tc>
      </w:tr>
      <w:tr w:rsidR="00A808EB" w:rsidRPr="008D7BEC" w14:paraId="1ECAD410" w14:textId="77777777" w:rsidTr="005C1B0B">
        <w:trPr>
          <w:trHeight w:val="300"/>
          <w:jc w:val="center"/>
        </w:trPr>
        <w:tc>
          <w:tcPr>
            <w:tcW w:w="639" w:type="dxa"/>
            <w:vMerge/>
            <w:vAlign w:val="center"/>
            <w:hideMark/>
          </w:tcPr>
          <w:p w14:paraId="3341253B"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653E0520"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0.000</w:t>
            </w:r>
          </w:p>
        </w:tc>
        <w:tc>
          <w:tcPr>
            <w:tcW w:w="796" w:type="dxa"/>
            <w:shd w:val="clear" w:color="auto" w:fill="auto"/>
            <w:noWrap/>
            <w:vAlign w:val="center"/>
            <w:hideMark/>
          </w:tcPr>
          <w:p w14:paraId="17577B69"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0.000</w:t>
            </w:r>
          </w:p>
        </w:tc>
        <w:tc>
          <w:tcPr>
            <w:tcW w:w="796" w:type="dxa"/>
            <w:shd w:val="clear" w:color="auto" w:fill="auto"/>
            <w:noWrap/>
            <w:vAlign w:val="center"/>
            <w:hideMark/>
          </w:tcPr>
          <w:p w14:paraId="12263C5F"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0.003</w:t>
            </w:r>
          </w:p>
        </w:tc>
        <w:tc>
          <w:tcPr>
            <w:tcW w:w="796" w:type="dxa"/>
            <w:shd w:val="clear" w:color="auto" w:fill="auto"/>
            <w:noWrap/>
            <w:vAlign w:val="center"/>
            <w:hideMark/>
          </w:tcPr>
          <w:p w14:paraId="5FE6B817"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0.937</w:t>
            </w:r>
          </w:p>
        </w:tc>
        <w:tc>
          <w:tcPr>
            <w:tcW w:w="666" w:type="dxa"/>
            <w:shd w:val="clear" w:color="auto" w:fill="auto"/>
            <w:vAlign w:val="center"/>
            <w:hideMark/>
          </w:tcPr>
          <w:p w14:paraId="3131314F" w14:textId="77777777" w:rsidR="00A808EB" w:rsidRPr="008D7BEC" w:rsidRDefault="00A808EB" w:rsidP="005C1B0B">
            <w:pPr>
              <w:jc w:val="center"/>
              <w:rPr>
                <w:color w:val="000000"/>
                <w:sz w:val="20"/>
                <w:szCs w:val="20"/>
                <w:lang w:val="en-MY" w:eastAsia="en-MY"/>
              </w:rPr>
            </w:pPr>
          </w:p>
        </w:tc>
        <w:tc>
          <w:tcPr>
            <w:tcW w:w="696" w:type="dxa"/>
            <w:shd w:val="clear" w:color="auto" w:fill="auto"/>
            <w:noWrap/>
            <w:vAlign w:val="center"/>
            <w:hideMark/>
          </w:tcPr>
          <w:p w14:paraId="473D6D34" w14:textId="77777777" w:rsidR="00A808EB" w:rsidRPr="008D7BEC" w:rsidRDefault="00A808EB" w:rsidP="005C1B0B">
            <w:pPr>
              <w:jc w:val="center"/>
              <w:rPr>
                <w:color w:val="000000"/>
                <w:sz w:val="20"/>
                <w:szCs w:val="20"/>
                <w:lang w:val="en-MY" w:eastAsia="en-MY"/>
              </w:rPr>
            </w:pPr>
          </w:p>
        </w:tc>
        <w:tc>
          <w:tcPr>
            <w:tcW w:w="527" w:type="dxa"/>
          </w:tcPr>
          <w:p w14:paraId="1A934500" w14:textId="77777777" w:rsidR="00A808EB" w:rsidRPr="008D7BEC" w:rsidRDefault="00A808EB" w:rsidP="005C1B0B">
            <w:pPr>
              <w:jc w:val="center"/>
              <w:rPr>
                <w:color w:val="000000"/>
                <w:sz w:val="20"/>
                <w:szCs w:val="20"/>
                <w:lang w:val="en-MY" w:eastAsia="en-MY"/>
              </w:rPr>
            </w:pPr>
          </w:p>
        </w:tc>
      </w:tr>
      <w:tr w:rsidR="00A808EB" w:rsidRPr="008D7BEC" w14:paraId="2CD6190A" w14:textId="77777777" w:rsidTr="005C1B0B">
        <w:trPr>
          <w:trHeight w:val="300"/>
          <w:jc w:val="center"/>
        </w:trPr>
        <w:tc>
          <w:tcPr>
            <w:tcW w:w="639" w:type="dxa"/>
            <w:vMerge w:val="restart"/>
            <w:shd w:val="clear" w:color="auto" w:fill="auto"/>
            <w:hideMark/>
          </w:tcPr>
          <w:p w14:paraId="66363317" w14:textId="77777777" w:rsidR="00A808EB" w:rsidRPr="008D7BEC" w:rsidRDefault="00A808EB" w:rsidP="005C1B0B">
            <w:pPr>
              <w:jc w:val="center"/>
              <w:rPr>
                <w:color w:val="000000"/>
                <w:sz w:val="20"/>
                <w:szCs w:val="20"/>
                <w:lang w:val="en-MY" w:eastAsia="en-MY"/>
              </w:rPr>
            </w:pPr>
          </w:p>
          <w:p w14:paraId="4852EBEC"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Size</w:t>
            </w:r>
          </w:p>
        </w:tc>
        <w:tc>
          <w:tcPr>
            <w:tcW w:w="796" w:type="dxa"/>
            <w:shd w:val="clear" w:color="auto" w:fill="auto"/>
            <w:noWrap/>
            <w:vAlign w:val="center"/>
            <w:hideMark/>
          </w:tcPr>
          <w:p w14:paraId="30318C29" w14:textId="77777777" w:rsidR="00A808EB" w:rsidRPr="008D7BEC" w:rsidRDefault="00A808EB" w:rsidP="005C1B0B">
            <w:pPr>
              <w:jc w:val="center"/>
              <w:rPr>
                <w:b/>
                <w:bCs/>
                <w:color w:val="000000"/>
                <w:sz w:val="20"/>
                <w:szCs w:val="20"/>
                <w:lang w:val="en-MY" w:eastAsia="en-MY"/>
              </w:rPr>
            </w:pPr>
          </w:p>
          <w:p w14:paraId="77DAC90C"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0.518</w:t>
            </w:r>
            <w:r w:rsidRPr="008D7BEC">
              <w:rPr>
                <w:b/>
                <w:bCs/>
                <w:color w:val="000000"/>
                <w:sz w:val="20"/>
                <w:szCs w:val="20"/>
                <w:vertAlign w:val="superscript"/>
                <w:lang w:val="en-MY" w:eastAsia="en-MY"/>
              </w:rPr>
              <w:t>**</w:t>
            </w:r>
          </w:p>
        </w:tc>
        <w:tc>
          <w:tcPr>
            <w:tcW w:w="796" w:type="dxa"/>
            <w:shd w:val="clear" w:color="auto" w:fill="auto"/>
            <w:noWrap/>
            <w:vAlign w:val="center"/>
            <w:hideMark/>
          </w:tcPr>
          <w:p w14:paraId="1F5FCE7E" w14:textId="77777777" w:rsidR="00A808EB" w:rsidRPr="008D7BEC" w:rsidRDefault="00A808EB" w:rsidP="005C1B0B">
            <w:pPr>
              <w:jc w:val="center"/>
              <w:rPr>
                <w:b/>
                <w:bCs/>
                <w:color w:val="000000"/>
                <w:sz w:val="20"/>
                <w:szCs w:val="20"/>
                <w:lang w:val="en-MY" w:eastAsia="en-MY"/>
              </w:rPr>
            </w:pPr>
          </w:p>
          <w:p w14:paraId="39817870"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0.486</w:t>
            </w:r>
            <w:r w:rsidRPr="008D7BEC">
              <w:rPr>
                <w:b/>
                <w:bCs/>
                <w:color w:val="000000"/>
                <w:sz w:val="20"/>
                <w:szCs w:val="20"/>
                <w:vertAlign w:val="superscript"/>
                <w:lang w:val="en-MY" w:eastAsia="en-MY"/>
              </w:rPr>
              <w:t>**</w:t>
            </w:r>
          </w:p>
        </w:tc>
        <w:tc>
          <w:tcPr>
            <w:tcW w:w="796" w:type="dxa"/>
            <w:shd w:val="clear" w:color="auto" w:fill="auto"/>
            <w:noWrap/>
            <w:vAlign w:val="center"/>
            <w:hideMark/>
          </w:tcPr>
          <w:p w14:paraId="36F63129" w14:textId="77777777" w:rsidR="00A808EB" w:rsidRPr="008D7BEC" w:rsidRDefault="00A808EB" w:rsidP="005C1B0B">
            <w:pPr>
              <w:jc w:val="center"/>
              <w:rPr>
                <w:b/>
                <w:bCs/>
                <w:color w:val="000000"/>
                <w:sz w:val="20"/>
                <w:szCs w:val="20"/>
                <w:lang w:val="en-MY" w:eastAsia="en-MY"/>
              </w:rPr>
            </w:pPr>
          </w:p>
          <w:p w14:paraId="1DC8CEE2"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0.612</w:t>
            </w:r>
            <w:r w:rsidRPr="008D7BEC">
              <w:rPr>
                <w:b/>
                <w:bCs/>
                <w:color w:val="000000"/>
                <w:sz w:val="20"/>
                <w:szCs w:val="20"/>
                <w:vertAlign w:val="superscript"/>
                <w:lang w:val="en-MY" w:eastAsia="en-MY"/>
              </w:rPr>
              <w:t>**</w:t>
            </w:r>
          </w:p>
        </w:tc>
        <w:tc>
          <w:tcPr>
            <w:tcW w:w="796" w:type="dxa"/>
            <w:shd w:val="clear" w:color="auto" w:fill="auto"/>
            <w:noWrap/>
            <w:vAlign w:val="center"/>
            <w:hideMark/>
          </w:tcPr>
          <w:p w14:paraId="3BB5778A" w14:textId="77777777" w:rsidR="00A808EB" w:rsidRPr="008D7BEC" w:rsidRDefault="00A808EB" w:rsidP="005C1B0B">
            <w:pPr>
              <w:jc w:val="center"/>
              <w:rPr>
                <w:b/>
                <w:bCs/>
                <w:color w:val="000000"/>
                <w:sz w:val="20"/>
                <w:szCs w:val="20"/>
                <w:lang w:val="en-MY" w:eastAsia="en-MY"/>
              </w:rPr>
            </w:pPr>
          </w:p>
          <w:p w14:paraId="3BB7AEE4"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0.273</w:t>
            </w:r>
          </w:p>
        </w:tc>
        <w:tc>
          <w:tcPr>
            <w:tcW w:w="666" w:type="dxa"/>
            <w:shd w:val="clear" w:color="auto" w:fill="auto"/>
            <w:noWrap/>
            <w:vAlign w:val="center"/>
            <w:hideMark/>
          </w:tcPr>
          <w:p w14:paraId="10BD3ECB" w14:textId="77777777" w:rsidR="00A808EB" w:rsidRPr="008D7BEC" w:rsidRDefault="00A808EB" w:rsidP="005C1B0B">
            <w:pPr>
              <w:jc w:val="center"/>
              <w:rPr>
                <w:b/>
                <w:bCs/>
                <w:color w:val="000000"/>
                <w:sz w:val="20"/>
                <w:szCs w:val="20"/>
                <w:lang w:val="en-MY" w:eastAsia="en-MY"/>
              </w:rPr>
            </w:pPr>
          </w:p>
          <w:p w14:paraId="471E9CAE"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0.489</w:t>
            </w:r>
            <w:r w:rsidRPr="008D7BEC">
              <w:rPr>
                <w:b/>
                <w:bCs/>
                <w:color w:val="000000"/>
                <w:sz w:val="20"/>
                <w:szCs w:val="20"/>
                <w:vertAlign w:val="superscript"/>
                <w:lang w:val="en-MY" w:eastAsia="en-MY"/>
              </w:rPr>
              <w:t>**</w:t>
            </w:r>
          </w:p>
        </w:tc>
        <w:tc>
          <w:tcPr>
            <w:tcW w:w="696" w:type="dxa"/>
            <w:shd w:val="clear" w:color="auto" w:fill="auto"/>
            <w:noWrap/>
            <w:vAlign w:val="center"/>
            <w:hideMark/>
          </w:tcPr>
          <w:p w14:paraId="7C6D9C1E" w14:textId="77777777" w:rsidR="00A808EB" w:rsidRPr="008D7BEC" w:rsidRDefault="00A808EB" w:rsidP="005C1B0B">
            <w:pPr>
              <w:jc w:val="center"/>
              <w:rPr>
                <w:b/>
                <w:bCs/>
                <w:color w:val="000000"/>
                <w:sz w:val="20"/>
                <w:szCs w:val="20"/>
                <w:lang w:val="en-MY" w:eastAsia="en-MY"/>
              </w:rPr>
            </w:pPr>
          </w:p>
          <w:p w14:paraId="140B3418"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1</w:t>
            </w:r>
          </w:p>
        </w:tc>
        <w:tc>
          <w:tcPr>
            <w:tcW w:w="527" w:type="dxa"/>
          </w:tcPr>
          <w:p w14:paraId="0CDA46AD" w14:textId="77777777" w:rsidR="00A808EB" w:rsidRPr="008D7BEC" w:rsidRDefault="00A808EB" w:rsidP="005C1B0B">
            <w:pPr>
              <w:jc w:val="center"/>
              <w:rPr>
                <w:color w:val="000000"/>
                <w:sz w:val="20"/>
                <w:szCs w:val="20"/>
                <w:lang w:val="en-MY" w:eastAsia="en-MY"/>
              </w:rPr>
            </w:pPr>
          </w:p>
        </w:tc>
      </w:tr>
      <w:tr w:rsidR="00A808EB" w:rsidRPr="008D7BEC" w14:paraId="58C3ED76" w14:textId="77777777" w:rsidTr="005C1B0B">
        <w:trPr>
          <w:trHeight w:val="300"/>
          <w:jc w:val="center"/>
        </w:trPr>
        <w:tc>
          <w:tcPr>
            <w:tcW w:w="639" w:type="dxa"/>
            <w:vMerge/>
            <w:vAlign w:val="center"/>
            <w:hideMark/>
          </w:tcPr>
          <w:p w14:paraId="2C8B6555" w14:textId="77777777" w:rsidR="00A808EB" w:rsidRPr="008D7BEC" w:rsidRDefault="00A808EB" w:rsidP="005C1B0B">
            <w:pPr>
              <w:jc w:val="center"/>
              <w:rPr>
                <w:color w:val="000000"/>
                <w:sz w:val="20"/>
                <w:szCs w:val="20"/>
                <w:lang w:val="en-MY" w:eastAsia="en-MY"/>
              </w:rPr>
            </w:pPr>
          </w:p>
        </w:tc>
        <w:tc>
          <w:tcPr>
            <w:tcW w:w="796" w:type="dxa"/>
            <w:shd w:val="clear" w:color="auto" w:fill="auto"/>
            <w:noWrap/>
            <w:vAlign w:val="center"/>
            <w:hideMark/>
          </w:tcPr>
          <w:p w14:paraId="7ABB3967"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0.001</w:t>
            </w:r>
          </w:p>
        </w:tc>
        <w:tc>
          <w:tcPr>
            <w:tcW w:w="796" w:type="dxa"/>
            <w:shd w:val="clear" w:color="auto" w:fill="auto"/>
            <w:noWrap/>
            <w:vAlign w:val="center"/>
            <w:hideMark/>
          </w:tcPr>
          <w:p w14:paraId="7B962837"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0.002</w:t>
            </w:r>
          </w:p>
        </w:tc>
        <w:tc>
          <w:tcPr>
            <w:tcW w:w="796" w:type="dxa"/>
            <w:shd w:val="clear" w:color="auto" w:fill="auto"/>
            <w:noWrap/>
            <w:vAlign w:val="center"/>
            <w:hideMark/>
          </w:tcPr>
          <w:p w14:paraId="4A91B34D"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0.000</w:t>
            </w:r>
          </w:p>
        </w:tc>
        <w:tc>
          <w:tcPr>
            <w:tcW w:w="796" w:type="dxa"/>
            <w:shd w:val="clear" w:color="auto" w:fill="auto"/>
            <w:noWrap/>
            <w:vAlign w:val="center"/>
            <w:hideMark/>
          </w:tcPr>
          <w:p w14:paraId="52986B69"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0.103</w:t>
            </w:r>
          </w:p>
        </w:tc>
        <w:tc>
          <w:tcPr>
            <w:tcW w:w="666" w:type="dxa"/>
            <w:shd w:val="clear" w:color="auto" w:fill="auto"/>
            <w:noWrap/>
            <w:vAlign w:val="center"/>
            <w:hideMark/>
          </w:tcPr>
          <w:p w14:paraId="3C5D7E33"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0.002</w:t>
            </w:r>
          </w:p>
        </w:tc>
        <w:tc>
          <w:tcPr>
            <w:tcW w:w="696" w:type="dxa"/>
            <w:shd w:val="clear" w:color="auto" w:fill="auto"/>
            <w:vAlign w:val="center"/>
            <w:hideMark/>
          </w:tcPr>
          <w:p w14:paraId="69BF494F" w14:textId="77777777" w:rsidR="00A808EB" w:rsidRPr="008D7BEC" w:rsidRDefault="00A808EB" w:rsidP="005C1B0B">
            <w:pPr>
              <w:jc w:val="center"/>
              <w:rPr>
                <w:color w:val="000000"/>
                <w:sz w:val="20"/>
                <w:szCs w:val="20"/>
                <w:lang w:val="en-MY" w:eastAsia="en-MY"/>
              </w:rPr>
            </w:pPr>
          </w:p>
        </w:tc>
        <w:tc>
          <w:tcPr>
            <w:tcW w:w="527" w:type="dxa"/>
          </w:tcPr>
          <w:p w14:paraId="6A6C5348" w14:textId="77777777" w:rsidR="00A808EB" w:rsidRPr="008D7BEC" w:rsidRDefault="00A808EB" w:rsidP="005C1B0B">
            <w:pPr>
              <w:jc w:val="center"/>
              <w:rPr>
                <w:color w:val="000000"/>
                <w:sz w:val="20"/>
                <w:szCs w:val="20"/>
                <w:lang w:val="en-MY" w:eastAsia="en-MY"/>
              </w:rPr>
            </w:pPr>
          </w:p>
        </w:tc>
      </w:tr>
      <w:tr w:rsidR="00A808EB" w:rsidRPr="008D7BEC" w14:paraId="729F28D7" w14:textId="77777777" w:rsidTr="005C1B0B">
        <w:trPr>
          <w:trHeight w:val="300"/>
          <w:jc w:val="center"/>
        </w:trPr>
        <w:tc>
          <w:tcPr>
            <w:tcW w:w="639" w:type="dxa"/>
            <w:vMerge w:val="restart"/>
            <w:shd w:val="clear" w:color="auto" w:fill="auto"/>
            <w:hideMark/>
          </w:tcPr>
          <w:p w14:paraId="6F79AED1" w14:textId="77777777" w:rsidR="00A808EB" w:rsidRPr="008D7BEC" w:rsidRDefault="00A808EB" w:rsidP="005C1B0B">
            <w:pPr>
              <w:jc w:val="center"/>
              <w:rPr>
                <w:color w:val="000000"/>
                <w:sz w:val="20"/>
                <w:szCs w:val="20"/>
                <w:lang w:val="en-MY" w:eastAsia="en-MY"/>
              </w:rPr>
            </w:pPr>
          </w:p>
          <w:p w14:paraId="2A3477CC" w14:textId="77777777" w:rsidR="00A808EB" w:rsidRPr="008D7BEC" w:rsidRDefault="00A808EB" w:rsidP="005C1B0B">
            <w:pPr>
              <w:jc w:val="center"/>
              <w:rPr>
                <w:color w:val="000000"/>
                <w:sz w:val="20"/>
                <w:szCs w:val="20"/>
                <w:lang w:val="en-MY" w:eastAsia="en-MY"/>
              </w:rPr>
            </w:pPr>
            <w:r w:rsidRPr="008D7BEC">
              <w:rPr>
                <w:color w:val="000000"/>
                <w:sz w:val="20"/>
                <w:szCs w:val="20"/>
                <w:lang w:val="en-MY" w:eastAsia="en-MY"/>
              </w:rPr>
              <w:t>Lev</w:t>
            </w:r>
          </w:p>
        </w:tc>
        <w:tc>
          <w:tcPr>
            <w:tcW w:w="796" w:type="dxa"/>
            <w:shd w:val="clear" w:color="auto" w:fill="auto"/>
            <w:noWrap/>
            <w:vAlign w:val="center"/>
            <w:hideMark/>
          </w:tcPr>
          <w:p w14:paraId="39E487EE" w14:textId="77777777" w:rsidR="00A808EB" w:rsidRPr="008D7BEC" w:rsidRDefault="00A808EB" w:rsidP="005C1B0B">
            <w:pPr>
              <w:jc w:val="center"/>
              <w:rPr>
                <w:b/>
                <w:bCs/>
                <w:color w:val="000000"/>
                <w:sz w:val="20"/>
                <w:szCs w:val="20"/>
                <w:lang w:val="en-MY" w:eastAsia="en-MY"/>
              </w:rPr>
            </w:pPr>
          </w:p>
          <w:p w14:paraId="0F3F7F7E"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0.033</w:t>
            </w:r>
          </w:p>
        </w:tc>
        <w:tc>
          <w:tcPr>
            <w:tcW w:w="796" w:type="dxa"/>
            <w:shd w:val="clear" w:color="auto" w:fill="auto"/>
            <w:noWrap/>
            <w:vAlign w:val="center"/>
            <w:hideMark/>
          </w:tcPr>
          <w:p w14:paraId="120AC9EF" w14:textId="77777777" w:rsidR="00A808EB" w:rsidRPr="008D7BEC" w:rsidRDefault="00A808EB" w:rsidP="005C1B0B">
            <w:pPr>
              <w:jc w:val="center"/>
              <w:rPr>
                <w:b/>
                <w:bCs/>
                <w:color w:val="000000"/>
                <w:sz w:val="20"/>
                <w:szCs w:val="20"/>
                <w:lang w:val="en-MY" w:eastAsia="en-MY"/>
              </w:rPr>
            </w:pPr>
          </w:p>
          <w:p w14:paraId="42F1A267"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0.106</w:t>
            </w:r>
          </w:p>
        </w:tc>
        <w:tc>
          <w:tcPr>
            <w:tcW w:w="796" w:type="dxa"/>
            <w:shd w:val="clear" w:color="auto" w:fill="auto"/>
            <w:noWrap/>
            <w:vAlign w:val="center"/>
            <w:hideMark/>
          </w:tcPr>
          <w:p w14:paraId="4AF01552" w14:textId="77777777" w:rsidR="00A808EB" w:rsidRPr="008D7BEC" w:rsidRDefault="00A808EB" w:rsidP="005C1B0B">
            <w:pPr>
              <w:jc w:val="center"/>
              <w:rPr>
                <w:b/>
                <w:bCs/>
                <w:color w:val="000000"/>
                <w:sz w:val="20"/>
                <w:szCs w:val="20"/>
                <w:lang w:val="en-MY" w:eastAsia="en-MY"/>
              </w:rPr>
            </w:pPr>
          </w:p>
          <w:p w14:paraId="776EC4B3"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0.104</w:t>
            </w:r>
          </w:p>
        </w:tc>
        <w:tc>
          <w:tcPr>
            <w:tcW w:w="796" w:type="dxa"/>
            <w:shd w:val="clear" w:color="auto" w:fill="auto"/>
            <w:noWrap/>
            <w:vAlign w:val="center"/>
            <w:hideMark/>
          </w:tcPr>
          <w:p w14:paraId="6F7D0607" w14:textId="77777777" w:rsidR="00A808EB" w:rsidRPr="008D7BEC" w:rsidRDefault="00A808EB" w:rsidP="005C1B0B">
            <w:pPr>
              <w:jc w:val="center"/>
              <w:rPr>
                <w:b/>
                <w:bCs/>
                <w:color w:val="000000"/>
                <w:sz w:val="20"/>
                <w:szCs w:val="20"/>
                <w:lang w:val="en-MY" w:eastAsia="en-MY"/>
              </w:rPr>
            </w:pPr>
          </w:p>
          <w:p w14:paraId="2A5D3640"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-0.070</w:t>
            </w:r>
          </w:p>
        </w:tc>
        <w:tc>
          <w:tcPr>
            <w:tcW w:w="666" w:type="dxa"/>
            <w:shd w:val="clear" w:color="auto" w:fill="auto"/>
            <w:noWrap/>
            <w:vAlign w:val="center"/>
            <w:hideMark/>
          </w:tcPr>
          <w:p w14:paraId="54F70AE4" w14:textId="77777777" w:rsidR="00A808EB" w:rsidRPr="008D7BEC" w:rsidRDefault="00A808EB" w:rsidP="005C1B0B">
            <w:pPr>
              <w:jc w:val="center"/>
              <w:rPr>
                <w:b/>
                <w:bCs/>
                <w:color w:val="000000"/>
                <w:sz w:val="20"/>
                <w:szCs w:val="20"/>
                <w:lang w:val="en-MY" w:eastAsia="en-MY"/>
              </w:rPr>
            </w:pPr>
          </w:p>
          <w:p w14:paraId="2469BE46"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0.291</w:t>
            </w:r>
          </w:p>
        </w:tc>
        <w:tc>
          <w:tcPr>
            <w:tcW w:w="696" w:type="dxa"/>
            <w:shd w:val="clear" w:color="auto" w:fill="auto"/>
            <w:noWrap/>
            <w:vAlign w:val="center"/>
            <w:hideMark/>
          </w:tcPr>
          <w:p w14:paraId="07B5370F" w14:textId="77777777" w:rsidR="00A808EB" w:rsidRPr="008D7BEC" w:rsidRDefault="00A808EB" w:rsidP="005C1B0B">
            <w:pPr>
              <w:jc w:val="center"/>
              <w:rPr>
                <w:b/>
                <w:bCs/>
                <w:color w:val="000000"/>
                <w:sz w:val="20"/>
                <w:szCs w:val="20"/>
                <w:lang w:val="en-MY" w:eastAsia="en-MY"/>
              </w:rPr>
            </w:pPr>
          </w:p>
          <w:p w14:paraId="4E0DF3B2"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0.459</w:t>
            </w:r>
            <w:r w:rsidRPr="008D7BEC">
              <w:rPr>
                <w:b/>
                <w:bCs/>
                <w:color w:val="000000"/>
                <w:sz w:val="20"/>
                <w:szCs w:val="20"/>
                <w:vertAlign w:val="superscript"/>
                <w:lang w:val="en-MY" w:eastAsia="en-MY"/>
              </w:rPr>
              <w:t>**</w:t>
            </w:r>
          </w:p>
        </w:tc>
        <w:tc>
          <w:tcPr>
            <w:tcW w:w="527" w:type="dxa"/>
          </w:tcPr>
          <w:p w14:paraId="084AC4D1" w14:textId="77777777" w:rsidR="00A808EB" w:rsidRPr="008D7BEC" w:rsidRDefault="00A808EB" w:rsidP="005C1B0B">
            <w:pPr>
              <w:jc w:val="center"/>
              <w:rPr>
                <w:b/>
                <w:bCs/>
                <w:color w:val="000000"/>
                <w:sz w:val="20"/>
                <w:szCs w:val="20"/>
                <w:lang w:val="en-MY" w:eastAsia="en-MY"/>
              </w:rPr>
            </w:pPr>
          </w:p>
          <w:p w14:paraId="376D2E8A" w14:textId="77777777" w:rsidR="00A808EB" w:rsidRPr="008D7BEC" w:rsidRDefault="00A808EB" w:rsidP="005C1B0B">
            <w:pPr>
              <w:jc w:val="center"/>
              <w:rPr>
                <w:b/>
                <w:bCs/>
                <w:color w:val="000000"/>
                <w:sz w:val="20"/>
                <w:szCs w:val="20"/>
                <w:lang w:val="en-MY" w:eastAsia="en-MY"/>
              </w:rPr>
            </w:pPr>
            <w:r w:rsidRPr="008D7BEC">
              <w:rPr>
                <w:b/>
                <w:bCs/>
                <w:color w:val="000000"/>
                <w:sz w:val="20"/>
                <w:szCs w:val="20"/>
                <w:lang w:val="en-MY" w:eastAsia="en-MY"/>
              </w:rPr>
              <w:t>1</w:t>
            </w:r>
          </w:p>
        </w:tc>
      </w:tr>
      <w:tr w:rsidR="00A808EB" w:rsidRPr="008D7BEC" w14:paraId="47FF3131" w14:textId="77777777" w:rsidTr="005C1B0B">
        <w:trPr>
          <w:trHeight w:val="300"/>
          <w:jc w:val="center"/>
        </w:trPr>
        <w:tc>
          <w:tcPr>
            <w:tcW w:w="639" w:type="dxa"/>
            <w:vMerge/>
            <w:tcBorders>
              <w:bottom w:val="single" w:sz="4" w:space="0" w:color="auto"/>
            </w:tcBorders>
            <w:vAlign w:val="center"/>
            <w:hideMark/>
          </w:tcPr>
          <w:p w14:paraId="5EEEAF99" w14:textId="77777777" w:rsidR="00A808EB" w:rsidRPr="008D7BEC" w:rsidRDefault="00A808EB" w:rsidP="005C1B0B">
            <w:pPr>
              <w:jc w:val="center"/>
              <w:rPr>
                <w:color w:val="000000"/>
                <w:sz w:val="20"/>
                <w:szCs w:val="20"/>
                <w:lang w:val="en-MY" w:eastAsia="en-MY"/>
              </w:rPr>
            </w:pPr>
          </w:p>
        </w:tc>
        <w:tc>
          <w:tcPr>
            <w:tcW w:w="796" w:type="dxa"/>
            <w:tcBorders>
              <w:bottom w:val="single" w:sz="4" w:space="0" w:color="auto"/>
            </w:tcBorders>
            <w:shd w:val="clear" w:color="auto" w:fill="auto"/>
            <w:noWrap/>
            <w:vAlign w:val="center"/>
            <w:hideMark/>
          </w:tcPr>
          <w:p w14:paraId="05D36537"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0.847</w:t>
            </w:r>
          </w:p>
        </w:tc>
        <w:tc>
          <w:tcPr>
            <w:tcW w:w="796" w:type="dxa"/>
            <w:tcBorders>
              <w:bottom w:val="single" w:sz="4" w:space="0" w:color="auto"/>
            </w:tcBorders>
            <w:shd w:val="clear" w:color="auto" w:fill="auto"/>
            <w:noWrap/>
            <w:vAlign w:val="center"/>
            <w:hideMark/>
          </w:tcPr>
          <w:p w14:paraId="19DEA049"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0.531</w:t>
            </w:r>
          </w:p>
        </w:tc>
        <w:tc>
          <w:tcPr>
            <w:tcW w:w="796" w:type="dxa"/>
            <w:tcBorders>
              <w:bottom w:val="single" w:sz="4" w:space="0" w:color="auto"/>
            </w:tcBorders>
            <w:shd w:val="clear" w:color="auto" w:fill="auto"/>
            <w:noWrap/>
            <w:vAlign w:val="center"/>
            <w:hideMark/>
          </w:tcPr>
          <w:p w14:paraId="0CB7D7EE"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0.539</w:t>
            </w:r>
          </w:p>
        </w:tc>
        <w:tc>
          <w:tcPr>
            <w:tcW w:w="796" w:type="dxa"/>
            <w:tcBorders>
              <w:bottom w:val="single" w:sz="4" w:space="0" w:color="auto"/>
            </w:tcBorders>
            <w:shd w:val="clear" w:color="auto" w:fill="auto"/>
            <w:noWrap/>
            <w:vAlign w:val="center"/>
            <w:hideMark/>
          </w:tcPr>
          <w:p w14:paraId="03E37CE9"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0.679</w:t>
            </w:r>
          </w:p>
        </w:tc>
        <w:tc>
          <w:tcPr>
            <w:tcW w:w="666" w:type="dxa"/>
            <w:tcBorders>
              <w:bottom w:val="single" w:sz="4" w:space="0" w:color="auto"/>
            </w:tcBorders>
            <w:shd w:val="clear" w:color="auto" w:fill="auto"/>
            <w:noWrap/>
            <w:vAlign w:val="center"/>
            <w:hideMark/>
          </w:tcPr>
          <w:p w14:paraId="493BBA01"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0.081</w:t>
            </w:r>
          </w:p>
        </w:tc>
        <w:tc>
          <w:tcPr>
            <w:tcW w:w="696" w:type="dxa"/>
            <w:tcBorders>
              <w:bottom w:val="single" w:sz="4" w:space="0" w:color="auto"/>
            </w:tcBorders>
            <w:shd w:val="clear" w:color="auto" w:fill="auto"/>
            <w:noWrap/>
            <w:vAlign w:val="center"/>
            <w:hideMark/>
          </w:tcPr>
          <w:p w14:paraId="135B9D85" w14:textId="77777777" w:rsidR="00A808EB" w:rsidRPr="008D7BEC" w:rsidRDefault="00A808EB" w:rsidP="005C1B0B">
            <w:pPr>
              <w:jc w:val="center"/>
              <w:rPr>
                <w:i/>
                <w:iCs/>
                <w:color w:val="000000"/>
                <w:sz w:val="20"/>
                <w:szCs w:val="20"/>
                <w:lang w:val="en-MY" w:eastAsia="en-MY"/>
              </w:rPr>
            </w:pPr>
            <w:r w:rsidRPr="008D7BEC">
              <w:rPr>
                <w:i/>
                <w:iCs/>
                <w:color w:val="000000"/>
                <w:sz w:val="20"/>
                <w:szCs w:val="20"/>
                <w:lang w:val="en-MY" w:eastAsia="en-MY"/>
              </w:rPr>
              <w:t>0.004</w:t>
            </w:r>
          </w:p>
        </w:tc>
        <w:tc>
          <w:tcPr>
            <w:tcW w:w="527" w:type="dxa"/>
            <w:tcBorders>
              <w:bottom w:val="single" w:sz="4" w:space="0" w:color="auto"/>
            </w:tcBorders>
          </w:tcPr>
          <w:p w14:paraId="3CB6B309" w14:textId="77777777" w:rsidR="00A808EB" w:rsidRPr="008D7BEC" w:rsidRDefault="00A808EB" w:rsidP="005C1B0B">
            <w:pPr>
              <w:jc w:val="center"/>
              <w:rPr>
                <w:color w:val="000000"/>
                <w:sz w:val="20"/>
                <w:szCs w:val="20"/>
                <w:lang w:val="en-MY" w:eastAsia="en-MY"/>
              </w:rPr>
            </w:pPr>
          </w:p>
        </w:tc>
      </w:tr>
    </w:tbl>
    <w:p w14:paraId="240F053C" w14:textId="77777777" w:rsidR="00A808EB" w:rsidRPr="00714079" w:rsidRDefault="00A808EB" w:rsidP="00A808EB">
      <w:pPr>
        <w:rPr>
          <w:sz w:val="20"/>
          <w:szCs w:val="20"/>
        </w:rPr>
      </w:pPr>
      <w:r w:rsidRPr="008D7BEC">
        <w:rPr>
          <w:sz w:val="20"/>
          <w:szCs w:val="20"/>
        </w:rPr>
        <w:t xml:space="preserve">                  Notes: The values in bold are the correlation coefficients.</w:t>
      </w:r>
    </w:p>
    <w:p w14:paraId="6F489FDE" w14:textId="77777777" w:rsidR="00A808EB" w:rsidRPr="00714079" w:rsidRDefault="00A808EB" w:rsidP="00A808EB">
      <w:pPr>
        <w:rPr>
          <w:sz w:val="20"/>
          <w:szCs w:val="20"/>
        </w:rPr>
      </w:pPr>
      <w:r w:rsidRPr="00714079">
        <w:rPr>
          <w:sz w:val="20"/>
          <w:szCs w:val="20"/>
        </w:rPr>
        <w:lastRenderedPageBreak/>
        <w:t xml:space="preserve">                              The values in italic are the significance levels.</w:t>
      </w:r>
    </w:p>
    <w:p w14:paraId="5029F604" w14:textId="77777777" w:rsidR="00A808EB" w:rsidRPr="005C097D" w:rsidRDefault="00A808EB" w:rsidP="00A808EB">
      <w:pPr>
        <w:rPr>
          <w:rtl/>
        </w:rPr>
      </w:pPr>
    </w:p>
    <w:p w14:paraId="74CFE6B8" w14:textId="77777777" w:rsidR="00A808EB" w:rsidRPr="00963222" w:rsidRDefault="00A808EB" w:rsidP="00A808EB">
      <w:pPr>
        <w:spacing w:after="240"/>
        <w:ind w:firstLine="720"/>
        <w:jc w:val="both"/>
      </w:pPr>
      <w:r w:rsidRPr="00D51718">
        <w:t>Table 4 presents the results of Regression 1, where VAIC is the independent v</w:t>
      </w:r>
      <w:r w:rsidRPr="0006087A">
        <w:t>ariable</w:t>
      </w:r>
      <w:r w:rsidRPr="00D51718">
        <w:t xml:space="preserve"> and either ROA or ROE are the dependent variables.</w:t>
      </w:r>
      <w:r>
        <w:t xml:space="preserve"> </w:t>
      </w:r>
      <w:r w:rsidRPr="00963222">
        <w:t>Based on the adjusted-R</w:t>
      </w:r>
      <w:r w:rsidRPr="00963222">
        <w:rPr>
          <w:vertAlign w:val="superscript"/>
        </w:rPr>
        <w:t>2</w:t>
      </w:r>
      <w:r w:rsidRPr="00963222">
        <w:t xml:space="preserve"> in Table 4, 59.8% of ROA is explained by the independent variables. Also, VAIC is significantly positively associated with ROA (p-value = 0.000). Specifically, for every unit increase of VAIC, ROA increases by 73.4%. Although firm size was significantly correlated with ROA in Table 2, when Size was </w:t>
      </w:r>
      <w:r w:rsidRPr="0006087A">
        <w:t>included in a multivariate regression with VAIC, the association between VAIC and ROA seems to have dominated, hence Size is no longer significant.</w:t>
      </w:r>
      <w:r w:rsidRPr="00963222">
        <w:t xml:space="preserve"> </w:t>
      </w:r>
    </w:p>
    <w:p w14:paraId="66D316EE" w14:textId="77777777" w:rsidR="00A808EB" w:rsidRDefault="00A808EB" w:rsidP="00A808EB">
      <w:pPr>
        <w:rPr>
          <w:color w:val="FF0000"/>
        </w:rPr>
      </w:pPr>
    </w:p>
    <w:p w14:paraId="4B238C7D" w14:textId="77777777" w:rsidR="00A808EB" w:rsidRPr="00344C41" w:rsidRDefault="00A808EB" w:rsidP="00A808EB">
      <w:pPr>
        <w:jc w:val="center"/>
        <w:rPr>
          <w:rFonts w:asciiTheme="majorBidi" w:hAnsiTheme="majorBidi" w:cstheme="majorBidi"/>
          <w:b/>
          <w:bCs/>
          <w:lang w:val="en-MY"/>
        </w:rPr>
      </w:pPr>
      <w:r w:rsidRPr="00344C41">
        <w:rPr>
          <w:rFonts w:asciiTheme="majorBidi" w:hAnsiTheme="majorBidi" w:cstheme="majorBidi"/>
          <w:b/>
          <w:bCs/>
          <w:lang w:val="en-MY"/>
        </w:rPr>
        <w:t>Table 4: Regression analysis result of VAIC with ROA and ROE</w:t>
      </w:r>
    </w:p>
    <w:p w14:paraId="2DD1840F" w14:textId="77777777" w:rsidR="00A808EB" w:rsidRPr="008D3413" w:rsidRDefault="00A808EB" w:rsidP="00A808EB">
      <w:pPr>
        <w:jc w:val="center"/>
        <w:rPr>
          <w:rFonts w:asciiTheme="majorBidi" w:hAnsiTheme="majorBidi" w:cstheme="majorBidi"/>
          <w:lang w:val="en-MY"/>
        </w:rPr>
      </w:pPr>
    </w:p>
    <w:tbl>
      <w:tblPr>
        <w:tblStyle w:val="TableGrid"/>
        <w:tblW w:w="8618" w:type="dxa"/>
        <w:jc w:val="center"/>
        <w:tblLook w:val="04A0" w:firstRow="1" w:lastRow="0" w:firstColumn="1" w:lastColumn="0" w:noHBand="0" w:noVBand="1"/>
      </w:tblPr>
      <w:tblGrid>
        <w:gridCol w:w="1813"/>
        <w:gridCol w:w="3259"/>
        <w:gridCol w:w="3480"/>
        <w:gridCol w:w="66"/>
      </w:tblGrid>
      <w:tr w:rsidR="00A808EB" w:rsidRPr="00344C41" w14:paraId="1495AD92" w14:textId="77777777" w:rsidTr="005C1B0B">
        <w:trPr>
          <w:jc w:val="center"/>
        </w:trPr>
        <w:tc>
          <w:tcPr>
            <w:tcW w:w="1814" w:type="dxa"/>
            <w:tcBorders>
              <w:top w:val="single" w:sz="4" w:space="0" w:color="auto"/>
              <w:left w:val="nil"/>
              <w:bottom w:val="single" w:sz="4" w:space="0" w:color="auto"/>
              <w:right w:val="nil"/>
            </w:tcBorders>
          </w:tcPr>
          <w:p w14:paraId="59C3F576" w14:textId="77777777" w:rsidR="00A808EB" w:rsidRPr="00344C41" w:rsidRDefault="00A808EB" w:rsidP="005C1B0B">
            <w:pPr>
              <w:jc w:val="center"/>
              <w:rPr>
                <w:rFonts w:cs="Times New Roman"/>
                <w:sz w:val="20"/>
                <w:szCs w:val="20"/>
                <w:lang w:bidi="ar-YE"/>
              </w:rPr>
            </w:pPr>
            <w:r w:rsidRPr="00344C41">
              <w:rPr>
                <w:rFonts w:cs="Times New Roman"/>
                <w:sz w:val="20"/>
                <w:szCs w:val="20"/>
              </w:rPr>
              <w:t>Variable</w:t>
            </w:r>
          </w:p>
        </w:tc>
        <w:tc>
          <w:tcPr>
            <w:tcW w:w="3256" w:type="dxa"/>
            <w:tcBorders>
              <w:top w:val="single" w:sz="4" w:space="0" w:color="auto"/>
              <w:left w:val="nil"/>
              <w:bottom w:val="single" w:sz="4" w:space="0" w:color="auto"/>
              <w:right w:val="nil"/>
            </w:tcBorders>
          </w:tcPr>
          <w:p w14:paraId="4DAC8AAE" w14:textId="77777777" w:rsidR="00A808EB" w:rsidRPr="00344C41" w:rsidRDefault="00A808EB" w:rsidP="005C1B0B">
            <w:pPr>
              <w:jc w:val="center"/>
              <w:rPr>
                <w:rFonts w:cs="Times New Roman"/>
                <w:sz w:val="20"/>
                <w:szCs w:val="20"/>
              </w:rPr>
            </w:pPr>
            <w:r w:rsidRPr="00344C41">
              <w:rPr>
                <w:rFonts w:cs="Times New Roman"/>
                <w:sz w:val="20"/>
                <w:szCs w:val="20"/>
              </w:rPr>
              <w:t>VAIC with ROA</w:t>
            </w:r>
          </w:p>
        </w:tc>
        <w:tc>
          <w:tcPr>
            <w:tcW w:w="3543" w:type="dxa"/>
            <w:gridSpan w:val="2"/>
            <w:tcBorders>
              <w:top w:val="single" w:sz="4" w:space="0" w:color="auto"/>
              <w:left w:val="nil"/>
              <w:bottom w:val="single" w:sz="4" w:space="0" w:color="auto"/>
              <w:right w:val="nil"/>
            </w:tcBorders>
          </w:tcPr>
          <w:p w14:paraId="6F5114BE" w14:textId="77777777" w:rsidR="00A808EB" w:rsidRPr="00344C41" w:rsidRDefault="00A808EB" w:rsidP="005C1B0B">
            <w:pPr>
              <w:jc w:val="center"/>
              <w:rPr>
                <w:rFonts w:cs="Times New Roman"/>
                <w:sz w:val="20"/>
                <w:szCs w:val="20"/>
              </w:rPr>
            </w:pPr>
            <w:r w:rsidRPr="00344C41">
              <w:rPr>
                <w:rFonts w:cs="Times New Roman"/>
                <w:sz w:val="20"/>
                <w:szCs w:val="20"/>
              </w:rPr>
              <w:t>VAIC with ROE</w:t>
            </w:r>
          </w:p>
        </w:tc>
      </w:tr>
      <w:tr w:rsidR="00A808EB" w:rsidRPr="008D7BEC" w14:paraId="742F4883" w14:textId="77777777" w:rsidTr="005C1B0B">
        <w:trPr>
          <w:jc w:val="center"/>
        </w:trPr>
        <w:tc>
          <w:tcPr>
            <w:tcW w:w="1814" w:type="dxa"/>
            <w:tcBorders>
              <w:top w:val="single" w:sz="4" w:space="0" w:color="auto"/>
              <w:left w:val="nil"/>
              <w:bottom w:val="nil"/>
              <w:right w:val="nil"/>
            </w:tcBorders>
          </w:tcPr>
          <w:p w14:paraId="4D3066EC" w14:textId="77777777" w:rsidR="00A808EB" w:rsidRPr="008D7BEC" w:rsidRDefault="00A808EB" w:rsidP="005C1B0B">
            <w:pPr>
              <w:jc w:val="center"/>
              <w:rPr>
                <w:rFonts w:cs="Times New Roman"/>
                <w:sz w:val="20"/>
                <w:szCs w:val="20"/>
              </w:rPr>
            </w:pPr>
            <w:r w:rsidRPr="008D7BEC">
              <w:rPr>
                <w:rFonts w:cs="Times New Roman"/>
                <w:sz w:val="20"/>
                <w:szCs w:val="20"/>
              </w:rPr>
              <w:t>VAIC</w:t>
            </w:r>
          </w:p>
        </w:tc>
        <w:tc>
          <w:tcPr>
            <w:tcW w:w="3256" w:type="dxa"/>
            <w:tcBorders>
              <w:top w:val="single" w:sz="4" w:space="0" w:color="auto"/>
              <w:left w:val="nil"/>
              <w:bottom w:val="nil"/>
              <w:right w:val="nil"/>
            </w:tcBorders>
          </w:tcPr>
          <w:p w14:paraId="54E93E01"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0.734</w:t>
            </w:r>
            <w:r w:rsidRPr="008D7BEC">
              <w:rPr>
                <w:rFonts w:cs="Times New Roman"/>
                <w:i/>
                <w:iCs/>
                <w:color w:val="FF0000"/>
                <w:sz w:val="20"/>
                <w:szCs w:val="20"/>
              </w:rPr>
              <w:t xml:space="preserve"> </w:t>
            </w:r>
          </w:p>
          <w:p w14:paraId="12FC9724"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(0.000***)</w:t>
            </w:r>
          </w:p>
        </w:tc>
        <w:tc>
          <w:tcPr>
            <w:tcW w:w="3543" w:type="dxa"/>
            <w:gridSpan w:val="2"/>
            <w:tcBorders>
              <w:top w:val="single" w:sz="4" w:space="0" w:color="auto"/>
              <w:left w:val="nil"/>
              <w:bottom w:val="nil"/>
              <w:right w:val="nil"/>
            </w:tcBorders>
          </w:tcPr>
          <w:p w14:paraId="7F3EED55"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0.827</w:t>
            </w:r>
            <w:r w:rsidRPr="008D7BEC">
              <w:rPr>
                <w:rFonts w:cs="Times New Roman"/>
                <w:i/>
                <w:iCs/>
                <w:color w:val="FF0000"/>
                <w:sz w:val="20"/>
                <w:szCs w:val="20"/>
              </w:rPr>
              <w:t xml:space="preserve"> </w:t>
            </w:r>
          </w:p>
          <w:p w14:paraId="2C23CAFE"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(0.000***)</w:t>
            </w:r>
          </w:p>
        </w:tc>
      </w:tr>
      <w:tr w:rsidR="00A808EB" w:rsidRPr="008D7BEC" w14:paraId="12B7AE68" w14:textId="77777777" w:rsidTr="005C1B0B">
        <w:trPr>
          <w:jc w:val="center"/>
        </w:trPr>
        <w:tc>
          <w:tcPr>
            <w:tcW w:w="1814" w:type="dxa"/>
            <w:tcBorders>
              <w:top w:val="nil"/>
              <w:left w:val="nil"/>
              <w:bottom w:val="nil"/>
              <w:right w:val="nil"/>
            </w:tcBorders>
          </w:tcPr>
          <w:p w14:paraId="54FDCC6A" w14:textId="77777777" w:rsidR="00A808EB" w:rsidRPr="008D7BEC" w:rsidRDefault="00A808EB" w:rsidP="005C1B0B">
            <w:pPr>
              <w:jc w:val="center"/>
              <w:rPr>
                <w:rFonts w:cs="Times New Roman"/>
                <w:sz w:val="20"/>
                <w:szCs w:val="20"/>
              </w:rPr>
            </w:pPr>
            <w:r w:rsidRPr="008D7BEC">
              <w:rPr>
                <w:rFonts w:cs="Times New Roman"/>
                <w:sz w:val="20"/>
                <w:szCs w:val="20"/>
              </w:rPr>
              <w:t>Size</w:t>
            </w:r>
          </w:p>
        </w:tc>
        <w:tc>
          <w:tcPr>
            <w:tcW w:w="3256" w:type="dxa"/>
            <w:tcBorders>
              <w:top w:val="nil"/>
              <w:left w:val="nil"/>
              <w:bottom w:val="nil"/>
              <w:right w:val="nil"/>
            </w:tcBorders>
          </w:tcPr>
          <w:p w14:paraId="2797DE0B"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0.043</w:t>
            </w:r>
            <w:r w:rsidRPr="008D7BEC">
              <w:rPr>
                <w:rFonts w:cs="Times New Roman"/>
                <w:i/>
                <w:iCs/>
                <w:color w:val="FF0000"/>
                <w:sz w:val="20"/>
                <w:szCs w:val="20"/>
              </w:rPr>
              <w:t xml:space="preserve"> </w:t>
            </w:r>
          </w:p>
          <w:p w14:paraId="082E162E"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(0.810)</w:t>
            </w:r>
          </w:p>
        </w:tc>
        <w:tc>
          <w:tcPr>
            <w:tcW w:w="3543" w:type="dxa"/>
            <w:gridSpan w:val="2"/>
            <w:tcBorders>
              <w:top w:val="nil"/>
              <w:left w:val="nil"/>
              <w:bottom w:val="nil"/>
              <w:right w:val="nil"/>
            </w:tcBorders>
          </w:tcPr>
          <w:p w14:paraId="6B158F71"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-0.109</w:t>
            </w:r>
            <w:r w:rsidRPr="008D7BEC">
              <w:rPr>
                <w:rFonts w:cs="Times New Roman"/>
                <w:i/>
                <w:iCs/>
                <w:color w:val="FF0000"/>
                <w:sz w:val="20"/>
                <w:szCs w:val="20"/>
              </w:rPr>
              <w:t xml:space="preserve"> </w:t>
            </w:r>
          </w:p>
          <w:p w14:paraId="352CCCC0"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(0.539)</w:t>
            </w:r>
          </w:p>
        </w:tc>
      </w:tr>
      <w:tr w:rsidR="00A808EB" w:rsidRPr="008D7BEC" w14:paraId="735DEECE" w14:textId="77777777" w:rsidTr="005C1B0B">
        <w:trPr>
          <w:jc w:val="center"/>
        </w:trPr>
        <w:tc>
          <w:tcPr>
            <w:tcW w:w="1814" w:type="dxa"/>
            <w:tcBorders>
              <w:top w:val="nil"/>
              <w:left w:val="nil"/>
              <w:bottom w:val="nil"/>
              <w:right w:val="nil"/>
            </w:tcBorders>
          </w:tcPr>
          <w:p w14:paraId="2BAA784A" w14:textId="77777777" w:rsidR="00A808EB" w:rsidRPr="008D7BEC" w:rsidRDefault="00A808EB" w:rsidP="005C1B0B">
            <w:pPr>
              <w:jc w:val="center"/>
              <w:rPr>
                <w:rFonts w:cs="Times New Roman"/>
                <w:sz w:val="20"/>
                <w:szCs w:val="20"/>
              </w:rPr>
            </w:pPr>
            <w:r w:rsidRPr="008D7BEC">
              <w:rPr>
                <w:rFonts w:cs="Times New Roman"/>
                <w:sz w:val="20"/>
                <w:szCs w:val="20"/>
              </w:rPr>
              <w:t>Lev</w:t>
            </w:r>
          </w:p>
        </w:tc>
        <w:tc>
          <w:tcPr>
            <w:tcW w:w="3256" w:type="dxa"/>
            <w:tcBorders>
              <w:top w:val="nil"/>
              <w:left w:val="nil"/>
              <w:bottom w:val="nil"/>
              <w:right w:val="nil"/>
            </w:tcBorders>
          </w:tcPr>
          <w:p w14:paraId="45D584AD"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-0.070</w:t>
            </w:r>
            <w:r w:rsidRPr="008D7BEC">
              <w:rPr>
                <w:rFonts w:cs="Times New Roman"/>
                <w:i/>
                <w:iCs/>
                <w:color w:val="FF0000"/>
                <w:sz w:val="20"/>
                <w:szCs w:val="20"/>
              </w:rPr>
              <w:t xml:space="preserve"> </w:t>
            </w:r>
          </w:p>
          <w:p w14:paraId="2B4FB9DD"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(0.579)</w:t>
            </w:r>
          </w:p>
        </w:tc>
        <w:tc>
          <w:tcPr>
            <w:tcW w:w="3543" w:type="dxa"/>
            <w:gridSpan w:val="2"/>
            <w:tcBorders>
              <w:top w:val="nil"/>
              <w:left w:val="nil"/>
              <w:bottom w:val="nil"/>
              <w:right w:val="nil"/>
            </w:tcBorders>
          </w:tcPr>
          <w:p w14:paraId="2C9A2509"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0.066</w:t>
            </w:r>
            <w:r w:rsidRPr="008D7BEC">
              <w:rPr>
                <w:rFonts w:cs="Times New Roman"/>
                <w:i/>
                <w:iCs/>
                <w:color w:val="FF0000"/>
                <w:sz w:val="20"/>
                <w:szCs w:val="20"/>
              </w:rPr>
              <w:t xml:space="preserve"> </w:t>
            </w:r>
          </w:p>
          <w:p w14:paraId="308B8444"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(0.589)</w:t>
            </w:r>
          </w:p>
        </w:tc>
      </w:tr>
      <w:tr w:rsidR="00A808EB" w:rsidRPr="008D7BEC" w14:paraId="4B95ED7A" w14:textId="77777777" w:rsidTr="005C1B0B">
        <w:trPr>
          <w:jc w:val="center"/>
        </w:trPr>
        <w:tc>
          <w:tcPr>
            <w:tcW w:w="1814" w:type="dxa"/>
            <w:tcBorders>
              <w:top w:val="nil"/>
              <w:left w:val="nil"/>
              <w:bottom w:val="nil"/>
              <w:right w:val="nil"/>
            </w:tcBorders>
          </w:tcPr>
          <w:p w14:paraId="759F4753" w14:textId="77777777" w:rsidR="00A808EB" w:rsidRPr="008D7BEC" w:rsidRDefault="00A808EB" w:rsidP="005C1B0B">
            <w:pPr>
              <w:jc w:val="center"/>
              <w:rPr>
                <w:rFonts w:cs="Times New Roman"/>
                <w:sz w:val="20"/>
                <w:szCs w:val="20"/>
              </w:rPr>
            </w:pPr>
            <w:r w:rsidRPr="008D7BEC">
              <w:rPr>
                <w:rFonts w:cs="Times New Roman"/>
                <w:sz w:val="20"/>
                <w:szCs w:val="20"/>
              </w:rPr>
              <w:t>Mkt</w:t>
            </w:r>
          </w:p>
        </w:tc>
        <w:tc>
          <w:tcPr>
            <w:tcW w:w="3256" w:type="dxa"/>
            <w:tcBorders>
              <w:top w:val="nil"/>
              <w:left w:val="nil"/>
              <w:bottom w:val="nil"/>
              <w:right w:val="nil"/>
            </w:tcBorders>
          </w:tcPr>
          <w:p w14:paraId="7A8029F8"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0.100</w:t>
            </w:r>
            <w:r w:rsidRPr="008D7BEC">
              <w:rPr>
                <w:rFonts w:cs="Times New Roman"/>
                <w:i/>
                <w:iCs/>
                <w:color w:val="FF0000"/>
                <w:sz w:val="20"/>
                <w:szCs w:val="20"/>
              </w:rPr>
              <w:t xml:space="preserve"> </w:t>
            </w:r>
          </w:p>
          <w:p w14:paraId="21D701D0"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(0.476)</w:t>
            </w:r>
          </w:p>
        </w:tc>
        <w:tc>
          <w:tcPr>
            <w:tcW w:w="3543" w:type="dxa"/>
            <w:gridSpan w:val="2"/>
            <w:tcBorders>
              <w:top w:val="nil"/>
              <w:left w:val="nil"/>
              <w:bottom w:val="nil"/>
              <w:right w:val="nil"/>
            </w:tcBorders>
          </w:tcPr>
          <w:p w14:paraId="506D3FA2"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0.101</w:t>
            </w:r>
            <w:r w:rsidRPr="008D7BEC">
              <w:rPr>
                <w:rFonts w:cs="Times New Roman"/>
                <w:i/>
                <w:iCs/>
                <w:color w:val="FF0000"/>
                <w:sz w:val="20"/>
                <w:szCs w:val="20"/>
              </w:rPr>
              <w:t xml:space="preserve"> </w:t>
            </w:r>
          </w:p>
          <w:p w14:paraId="0A2F171A"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(0.459)</w:t>
            </w:r>
          </w:p>
        </w:tc>
      </w:tr>
      <w:tr w:rsidR="00A808EB" w:rsidRPr="008D7BEC" w14:paraId="30DAC0AA" w14:textId="77777777" w:rsidTr="005C1B0B">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66" w:type="dxa"/>
          <w:jc w:val="center"/>
        </w:trPr>
        <w:tc>
          <w:tcPr>
            <w:tcW w:w="1809" w:type="dxa"/>
            <w:tcBorders>
              <w:top w:val="single" w:sz="4" w:space="0" w:color="auto"/>
            </w:tcBorders>
          </w:tcPr>
          <w:p w14:paraId="51C44187" w14:textId="77777777" w:rsidR="00A808EB" w:rsidRPr="008D7BEC" w:rsidRDefault="00A808EB" w:rsidP="005C1B0B">
            <w:pPr>
              <w:jc w:val="center"/>
              <w:rPr>
                <w:rFonts w:cs="Times New Roman"/>
                <w:i/>
                <w:iCs/>
                <w:sz w:val="20"/>
                <w:szCs w:val="20"/>
              </w:rPr>
            </w:pPr>
            <w:r w:rsidRPr="008D7BEC">
              <w:rPr>
                <w:rFonts w:cs="Times New Roman"/>
                <w:sz w:val="20"/>
                <w:szCs w:val="20"/>
                <w:lang w:bidi="ar-YE"/>
              </w:rPr>
              <w:t>Adjusted R</w:t>
            </w:r>
            <w:r w:rsidRPr="008D7BEC">
              <w:rPr>
                <w:rFonts w:cs="Times New Roman"/>
                <w:sz w:val="20"/>
                <w:szCs w:val="20"/>
                <w:vertAlign w:val="superscript"/>
                <w:lang w:bidi="ar-YE"/>
              </w:rPr>
              <w:t>2</w:t>
            </w:r>
          </w:p>
        </w:tc>
        <w:tc>
          <w:tcPr>
            <w:tcW w:w="3261" w:type="dxa"/>
            <w:tcBorders>
              <w:top w:val="single" w:sz="4" w:space="0" w:color="auto"/>
            </w:tcBorders>
          </w:tcPr>
          <w:p w14:paraId="7112BA92"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0.598</w:t>
            </w:r>
            <w:r w:rsidRPr="008D7BEC">
              <w:rPr>
                <w:rFonts w:cs="Times New Roman"/>
                <w:i/>
                <w:iCs/>
                <w:color w:val="FF0000"/>
                <w:sz w:val="20"/>
                <w:szCs w:val="20"/>
              </w:rPr>
              <w:t xml:space="preserve"> </w:t>
            </w:r>
          </w:p>
          <w:p w14:paraId="768C6DC5"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(0.000***)</w:t>
            </w:r>
          </w:p>
        </w:tc>
        <w:tc>
          <w:tcPr>
            <w:tcW w:w="3482" w:type="dxa"/>
            <w:tcBorders>
              <w:top w:val="single" w:sz="4" w:space="0" w:color="auto"/>
            </w:tcBorders>
          </w:tcPr>
          <w:p w14:paraId="045C0CCA" w14:textId="77777777" w:rsidR="00A808EB" w:rsidRPr="008D7BEC" w:rsidRDefault="00A808EB" w:rsidP="005C1B0B">
            <w:pPr>
              <w:jc w:val="center"/>
              <w:rPr>
                <w:rFonts w:cs="Times New Roman"/>
                <w:i/>
                <w:iCs/>
                <w:color w:val="FF0000"/>
                <w:sz w:val="20"/>
                <w:szCs w:val="20"/>
              </w:rPr>
            </w:pPr>
            <w:r w:rsidRPr="008D7BEC">
              <w:rPr>
                <w:rFonts w:cs="Times New Roman"/>
                <w:color w:val="000000"/>
                <w:sz w:val="20"/>
                <w:szCs w:val="20"/>
              </w:rPr>
              <w:t>0.617</w:t>
            </w:r>
            <w:r w:rsidRPr="008D7BEC">
              <w:rPr>
                <w:rFonts w:cs="Times New Roman"/>
                <w:i/>
                <w:iCs/>
                <w:color w:val="FF0000"/>
                <w:sz w:val="20"/>
                <w:szCs w:val="20"/>
              </w:rPr>
              <w:t xml:space="preserve"> </w:t>
            </w:r>
          </w:p>
          <w:p w14:paraId="5A635C5A" w14:textId="77777777" w:rsidR="00A808EB" w:rsidRPr="008D7BEC" w:rsidRDefault="00A808EB" w:rsidP="005C1B0B">
            <w:pPr>
              <w:jc w:val="center"/>
              <w:rPr>
                <w:rFonts w:cs="Times New Roman"/>
                <w:i/>
                <w:iCs/>
                <w:color w:val="FF0000"/>
                <w:sz w:val="20"/>
                <w:szCs w:val="20"/>
              </w:rPr>
            </w:pPr>
            <w:r w:rsidRPr="008D7BEC">
              <w:rPr>
                <w:rFonts w:cs="Times New Roman"/>
                <w:i/>
                <w:iCs/>
                <w:sz w:val="20"/>
                <w:szCs w:val="20"/>
              </w:rPr>
              <w:t>(0.000***)</w:t>
            </w:r>
          </w:p>
        </w:tc>
      </w:tr>
      <w:tr w:rsidR="00A808EB" w:rsidRPr="008D7BEC" w14:paraId="4F1D3752" w14:textId="77777777" w:rsidTr="005C1B0B">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66" w:type="dxa"/>
          <w:jc w:val="center"/>
        </w:trPr>
        <w:tc>
          <w:tcPr>
            <w:tcW w:w="1809" w:type="dxa"/>
          </w:tcPr>
          <w:p w14:paraId="531DF6AC" w14:textId="77777777" w:rsidR="00A808EB" w:rsidRPr="008D7BEC" w:rsidRDefault="00A808EB" w:rsidP="005C1B0B">
            <w:pPr>
              <w:jc w:val="center"/>
              <w:rPr>
                <w:rFonts w:cs="Times New Roman"/>
                <w:i/>
                <w:iCs/>
                <w:sz w:val="20"/>
                <w:szCs w:val="20"/>
              </w:rPr>
            </w:pPr>
            <w:r w:rsidRPr="008D7BEC">
              <w:rPr>
                <w:rFonts w:cs="Times New Roman"/>
                <w:sz w:val="20"/>
                <w:szCs w:val="20"/>
                <w:lang w:bidi="ar-YE"/>
              </w:rPr>
              <w:t>R</w:t>
            </w:r>
            <w:r w:rsidRPr="008D7BEC">
              <w:rPr>
                <w:rFonts w:cs="Times New Roman"/>
                <w:sz w:val="20"/>
                <w:szCs w:val="20"/>
                <w:vertAlign w:val="superscript"/>
                <w:lang w:bidi="ar-YE"/>
              </w:rPr>
              <w:t>2</w:t>
            </w:r>
          </w:p>
        </w:tc>
        <w:tc>
          <w:tcPr>
            <w:tcW w:w="3261" w:type="dxa"/>
          </w:tcPr>
          <w:p w14:paraId="3F8D182D" w14:textId="77777777" w:rsidR="00A808EB" w:rsidRPr="008D7BEC" w:rsidRDefault="00A808EB" w:rsidP="005C1B0B">
            <w:pPr>
              <w:jc w:val="center"/>
              <w:rPr>
                <w:rFonts w:cs="Times New Roman"/>
                <w:color w:val="FF0000"/>
                <w:sz w:val="20"/>
                <w:szCs w:val="20"/>
              </w:rPr>
            </w:pPr>
            <w:r w:rsidRPr="008D7BEC">
              <w:rPr>
                <w:rFonts w:cs="Times New Roman"/>
                <w:color w:val="000000"/>
                <w:sz w:val="20"/>
                <w:szCs w:val="20"/>
              </w:rPr>
              <w:t>0.643</w:t>
            </w:r>
          </w:p>
        </w:tc>
        <w:tc>
          <w:tcPr>
            <w:tcW w:w="3482" w:type="dxa"/>
          </w:tcPr>
          <w:p w14:paraId="22E53B35" w14:textId="77777777" w:rsidR="00A808EB" w:rsidRPr="008D7BEC" w:rsidRDefault="00A808EB" w:rsidP="005C1B0B">
            <w:pPr>
              <w:jc w:val="center"/>
              <w:rPr>
                <w:rFonts w:cs="Times New Roman"/>
                <w:color w:val="FF0000"/>
                <w:sz w:val="20"/>
                <w:szCs w:val="20"/>
              </w:rPr>
            </w:pPr>
            <w:r w:rsidRPr="008D7BEC">
              <w:rPr>
                <w:rFonts w:cs="Times New Roman"/>
                <w:color w:val="000000"/>
                <w:sz w:val="20"/>
                <w:szCs w:val="20"/>
              </w:rPr>
              <w:t>0.660</w:t>
            </w:r>
          </w:p>
        </w:tc>
      </w:tr>
    </w:tbl>
    <w:p w14:paraId="2EE0212D" w14:textId="77777777" w:rsidR="00A808EB" w:rsidRPr="00D56D98" w:rsidRDefault="00A808EB" w:rsidP="00A808EB">
      <w:pPr>
        <w:rPr>
          <w:sz w:val="20"/>
          <w:szCs w:val="20"/>
          <w:lang w:val="en-MY"/>
        </w:rPr>
      </w:pPr>
      <w:r w:rsidRPr="008D7BEC">
        <w:rPr>
          <w:sz w:val="20"/>
          <w:szCs w:val="20"/>
          <w:lang w:val="en-MY"/>
        </w:rPr>
        <w:t>Notes: ***, **, * Significant at 1%, 5% &amp;10% respectively.</w:t>
      </w:r>
    </w:p>
    <w:p w14:paraId="676593C3" w14:textId="77777777" w:rsidR="00A808EB" w:rsidRPr="00D56D98" w:rsidRDefault="00A808EB" w:rsidP="00A808EB">
      <w:pPr>
        <w:rPr>
          <w:sz w:val="20"/>
          <w:szCs w:val="20"/>
          <w:lang w:val="en-MY"/>
        </w:rPr>
      </w:pPr>
      <w:r w:rsidRPr="00D56D98">
        <w:rPr>
          <w:sz w:val="20"/>
          <w:szCs w:val="20"/>
          <w:lang w:val="en-MY"/>
        </w:rPr>
        <w:t>Every variable, Beta coefficient is on the top line, Followed by the significant level in brackets &amp; italics.</w:t>
      </w:r>
    </w:p>
    <w:p w14:paraId="3EE28691" w14:textId="77777777" w:rsidR="00A808EB" w:rsidRPr="007462D0" w:rsidRDefault="00A808EB" w:rsidP="00A808EB">
      <w:pPr>
        <w:rPr>
          <w:color w:val="FF0000"/>
          <w:rtl/>
        </w:rPr>
      </w:pPr>
    </w:p>
    <w:p w14:paraId="135143A4" w14:textId="77777777" w:rsidR="00A808EB" w:rsidRPr="00963222" w:rsidRDefault="00A808EB" w:rsidP="00A808EB">
      <w:pPr>
        <w:spacing w:after="240"/>
        <w:ind w:firstLine="720"/>
        <w:jc w:val="both"/>
        <w:rPr>
          <w:rtl/>
        </w:rPr>
      </w:pPr>
      <w:r w:rsidRPr="00963222">
        <w:t>The adjusted-R</w:t>
      </w:r>
      <w:r w:rsidRPr="00963222">
        <w:rPr>
          <w:vertAlign w:val="superscript"/>
        </w:rPr>
        <w:t xml:space="preserve">2 </w:t>
      </w:r>
      <w:r w:rsidRPr="00963222">
        <w:t xml:space="preserve">of ROE as the dependent variable is even higher, where 61.7% of ROE is explained by the independent variables. In fact, in referring to the VAIC coefficient, for each unit increase in VAIC, ROE increases by 82.7%. Interestingly, for companies in the TT&amp;M sectors, their profitability (both ROA and ROE) is not dependent on whether they are in the main or ACE markets, as the control variable for Mkt is not significant. </w:t>
      </w:r>
    </w:p>
    <w:p w14:paraId="2F9CB1B0" w14:textId="77777777" w:rsidR="00A808EB" w:rsidRPr="00963222" w:rsidRDefault="00A808EB" w:rsidP="00A808EB">
      <w:pPr>
        <w:spacing w:after="240"/>
        <w:jc w:val="both"/>
        <w:rPr>
          <w:bdr w:val="none" w:sz="0" w:space="0" w:color="auto" w:frame="1"/>
          <w:shd w:val="clear" w:color="auto" w:fill="FFFFFF"/>
        </w:rPr>
      </w:pPr>
      <w:r w:rsidRPr="00963222">
        <w:rPr>
          <w:b/>
          <w:bCs/>
          <w:bdr w:val="none" w:sz="0" w:space="0" w:color="auto" w:frame="1"/>
          <w:shd w:val="clear" w:color="auto" w:fill="FFFFFF"/>
        </w:rPr>
        <w:tab/>
      </w:r>
      <w:r w:rsidRPr="00963222">
        <w:rPr>
          <w:bdr w:val="none" w:sz="0" w:space="0" w:color="auto" w:frame="1"/>
          <w:shd w:val="clear" w:color="auto" w:fill="FFFFFF"/>
        </w:rPr>
        <w:t xml:space="preserve">These findings of VAIC significantly influencing firm performance (ROA and ROE) is consistent with prior studies using Malaysian data (Gan &amp; Saleh, 2008; Nimtrakoon, 2015; Pratama et al., 2019). Nevertheless, based on the findings of this study, it would be considerably worthwhile for companies in the TT&amp;M sectors to optimise their IC efficiency as it could result in substantial increase in profitability (ROA and ROE) of these companies. </w:t>
      </w:r>
    </w:p>
    <w:p w14:paraId="29596EE0" w14:textId="77777777" w:rsidR="00A808EB" w:rsidRPr="00963222" w:rsidRDefault="00A808EB" w:rsidP="00A808EB">
      <w:pPr>
        <w:spacing w:after="240"/>
        <w:ind w:firstLine="720"/>
        <w:jc w:val="both"/>
        <w:rPr>
          <w:bdr w:val="none" w:sz="0" w:space="0" w:color="auto" w:frame="1"/>
          <w:shd w:val="clear" w:color="auto" w:fill="FFFFFF"/>
        </w:rPr>
      </w:pPr>
      <w:r w:rsidRPr="00963222">
        <w:rPr>
          <w:bdr w:val="none" w:sz="0" w:space="0" w:color="auto" w:frame="1"/>
          <w:shd w:val="clear" w:color="auto" w:fill="FFFFFF"/>
        </w:rPr>
        <w:t>Next, the results of Regression 2 are presented in Table 5 below, where IC efficiency has been disaggregated into its components.</w:t>
      </w:r>
      <w:r w:rsidRPr="00DF005C">
        <w:rPr>
          <w:bdr w:val="none" w:sz="0" w:space="0" w:color="auto" w:frame="1"/>
          <w:shd w:val="clear" w:color="auto" w:fill="FFFFFF"/>
        </w:rPr>
        <w:t xml:space="preserve"> </w:t>
      </w:r>
      <w:r w:rsidRPr="00963222">
        <w:rPr>
          <w:bdr w:val="none" w:sz="0" w:space="0" w:color="auto" w:frame="1"/>
          <w:shd w:val="clear" w:color="auto" w:fill="FFFFFF"/>
        </w:rPr>
        <w:t>The adjusted-R</w:t>
      </w:r>
      <w:r w:rsidRPr="00963222">
        <w:rPr>
          <w:bdr w:val="none" w:sz="0" w:space="0" w:color="auto" w:frame="1"/>
          <w:shd w:val="clear" w:color="auto" w:fill="FFFFFF"/>
          <w:vertAlign w:val="superscript"/>
        </w:rPr>
        <w:t>2</w:t>
      </w:r>
      <w:r w:rsidRPr="00963222">
        <w:rPr>
          <w:bdr w:val="none" w:sz="0" w:space="0" w:color="auto" w:frame="1"/>
          <w:shd w:val="clear" w:color="auto" w:fill="FFFFFF"/>
        </w:rPr>
        <w:t xml:space="preserve"> of both regressions have increased when compared to the results in Table 4, where the independent variables are able to explain 75.8% and 68.7% of ROA and ROE, respectively. </w:t>
      </w:r>
      <w:r w:rsidRPr="00963222">
        <w:rPr>
          <w:rFonts w:asciiTheme="majorBidi" w:hAnsiTheme="majorBidi" w:cstheme="majorBidi"/>
        </w:rPr>
        <w:t xml:space="preserve">These results suggest that VAIC’s components are better at explaining profitability than VAIC alone. </w:t>
      </w:r>
      <w:r w:rsidRPr="00963222">
        <w:rPr>
          <w:bdr w:val="none" w:sz="0" w:space="0" w:color="auto" w:frame="1"/>
          <w:shd w:val="clear" w:color="auto" w:fill="FFFFFF"/>
        </w:rPr>
        <w:t xml:space="preserve">HCe and CEe are significantly positively associated with both ROA and ROE. However, HCe has a higher significance level (p-value = 0.000) for both profitability measures, whereas CEe is slightly less significant with ROA (p-value &lt; 0.01) and ROE (p-value &lt; 0.05). Specifically, for every unit increase in HCe, ROA and ROE increase by 72.2% and 62.8%, respectively. Whereas, for every unit increase in CEe, ROA and ROE increase by 35% and 32.5%, respectively. On the </w:t>
      </w:r>
      <w:r w:rsidRPr="00963222">
        <w:rPr>
          <w:bdr w:val="none" w:sz="0" w:space="0" w:color="auto" w:frame="1"/>
          <w:shd w:val="clear" w:color="auto" w:fill="FFFFFF"/>
        </w:rPr>
        <w:lastRenderedPageBreak/>
        <w:t>other hand, SCe is not significant with either of the profitability measures, and neither are the control variables.</w:t>
      </w:r>
    </w:p>
    <w:p w14:paraId="66FF5B38" w14:textId="77777777" w:rsidR="00A808EB" w:rsidRPr="0006087A" w:rsidRDefault="00A808EB" w:rsidP="00A808EB">
      <w:pPr>
        <w:spacing w:after="240"/>
        <w:ind w:firstLine="720"/>
        <w:jc w:val="both"/>
        <w:rPr>
          <w:bdr w:val="none" w:sz="0" w:space="0" w:color="auto" w:frame="1"/>
          <w:shd w:val="clear" w:color="auto" w:fill="FFFFFF"/>
        </w:rPr>
      </w:pPr>
      <w:r w:rsidRPr="00963222">
        <w:rPr>
          <w:rFonts w:eastAsia="Calibri"/>
        </w:rPr>
        <w:t xml:space="preserve">The findings of this study are consistent with the findings of prior studies on Malaysia (Gan &amp; Saleh, 2008; </w:t>
      </w:r>
      <w:r w:rsidRPr="0006087A">
        <w:rPr>
          <w:rFonts w:eastAsia="Calibri"/>
        </w:rPr>
        <w:t xml:space="preserve">Nimtrakoon, 2015) where HCe and CEe are significant with firm performance but SCe is not.  </w:t>
      </w:r>
      <w:r w:rsidRPr="0006087A">
        <w:rPr>
          <w:bdr w:val="none" w:sz="0" w:space="0" w:color="auto" w:frame="1"/>
          <w:shd w:val="clear" w:color="auto" w:fill="FFFFFF"/>
        </w:rPr>
        <w:t>These findings indicate that although the technology-intensive sectors are dynamic, the ICe’s effect on companies in these sectors remain consistent even after nearly a decade.</w:t>
      </w:r>
    </w:p>
    <w:p w14:paraId="6D5B56FF" w14:textId="77777777" w:rsidR="00A808EB" w:rsidRPr="00DF005C" w:rsidRDefault="00A808EB" w:rsidP="00A808EB">
      <w:pPr>
        <w:spacing w:after="240"/>
        <w:rPr>
          <w:bdr w:val="none" w:sz="0" w:space="0" w:color="auto" w:frame="1"/>
          <w:shd w:val="clear" w:color="auto" w:fill="FFFFFF"/>
        </w:rPr>
      </w:pPr>
    </w:p>
    <w:p w14:paraId="642564CD" w14:textId="77777777" w:rsidR="00A808EB" w:rsidRDefault="00A808EB" w:rsidP="00A808EB">
      <w:pPr>
        <w:jc w:val="center"/>
        <w:rPr>
          <w:rFonts w:asciiTheme="majorBidi" w:hAnsiTheme="majorBidi" w:cstheme="majorBidi"/>
          <w:lang w:val="en-MY"/>
        </w:rPr>
      </w:pPr>
    </w:p>
    <w:p w14:paraId="09990988" w14:textId="77777777" w:rsidR="00A808EB" w:rsidRPr="00344C41" w:rsidRDefault="00A808EB" w:rsidP="00A808EB">
      <w:pPr>
        <w:jc w:val="center"/>
        <w:rPr>
          <w:rFonts w:asciiTheme="majorBidi" w:hAnsiTheme="majorBidi" w:cstheme="majorBidi"/>
          <w:b/>
          <w:bCs/>
          <w:lang w:val="en-MY"/>
        </w:rPr>
      </w:pPr>
      <w:r w:rsidRPr="00344C41">
        <w:rPr>
          <w:rFonts w:asciiTheme="majorBidi" w:hAnsiTheme="majorBidi" w:cstheme="majorBidi"/>
          <w:b/>
          <w:bCs/>
          <w:lang w:val="en-MY"/>
        </w:rPr>
        <w:t>Table 5: Regression analysis result of HCe, SCe &amp; CEe with ROA and ROE</w:t>
      </w:r>
    </w:p>
    <w:p w14:paraId="4F0F5FF3" w14:textId="77777777" w:rsidR="00A808EB" w:rsidRDefault="00A808EB" w:rsidP="00A808EB">
      <w:pPr>
        <w:jc w:val="center"/>
        <w:rPr>
          <w:rFonts w:asciiTheme="majorBidi" w:hAnsiTheme="majorBidi" w:cstheme="majorBidi"/>
          <w:lang w:val="en-MY"/>
        </w:rPr>
      </w:pPr>
    </w:p>
    <w:tbl>
      <w:tblPr>
        <w:tblStyle w:val="TableGrid"/>
        <w:tblW w:w="8552" w:type="dxa"/>
        <w:jc w:val="center"/>
        <w:tblLook w:val="04A0" w:firstRow="1" w:lastRow="0" w:firstColumn="1" w:lastColumn="0" w:noHBand="0" w:noVBand="1"/>
      </w:tblPr>
      <w:tblGrid>
        <w:gridCol w:w="1809"/>
        <w:gridCol w:w="320"/>
        <w:gridCol w:w="2941"/>
        <w:gridCol w:w="283"/>
        <w:gridCol w:w="3119"/>
        <w:gridCol w:w="80"/>
      </w:tblGrid>
      <w:tr w:rsidR="00A808EB" w:rsidRPr="00344C41" w14:paraId="4F2AC318" w14:textId="77777777" w:rsidTr="005C1B0B">
        <w:trPr>
          <w:gridAfter w:val="1"/>
          <w:wAfter w:w="75" w:type="dxa"/>
          <w:jc w:val="center"/>
        </w:trPr>
        <w:tc>
          <w:tcPr>
            <w:tcW w:w="2129" w:type="dxa"/>
            <w:gridSpan w:val="2"/>
            <w:tcBorders>
              <w:top w:val="single" w:sz="4" w:space="0" w:color="auto"/>
              <w:left w:val="nil"/>
              <w:bottom w:val="single" w:sz="4" w:space="0" w:color="auto"/>
              <w:right w:val="nil"/>
            </w:tcBorders>
          </w:tcPr>
          <w:p w14:paraId="1BE0DA4D" w14:textId="77777777" w:rsidR="00A808EB" w:rsidRPr="00344C41" w:rsidRDefault="00A808EB" w:rsidP="005C1B0B">
            <w:pPr>
              <w:rPr>
                <w:rFonts w:cs="Times New Roman"/>
                <w:sz w:val="20"/>
                <w:szCs w:val="20"/>
                <w:lang w:bidi="ar-YE"/>
              </w:rPr>
            </w:pPr>
            <w:r w:rsidRPr="00344C41">
              <w:rPr>
                <w:rFonts w:cs="Times New Roman"/>
                <w:sz w:val="20"/>
                <w:szCs w:val="20"/>
              </w:rPr>
              <w:t>Variable</w:t>
            </w:r>
          </w:p>
        </w:tc>
        <w:tc>
          <w:tcPr>
            <w:tcW w:w="3224" w:type="dxa"/>
            <w:gridSpan w:val="2"/>
            <w:tcBorders>
              <w:top w:val="single" w:sz="4" w:space="0" w:color="auto"/>
              <w:left w:val="nil"/>
              <w:bottom w:val="single" w:sz="4" w:space="0" w:color="auto"/>
              <w:right w:val="nil"/>
            </w:tcBorders>
          </w:tcPr>
          <w:p w14:paraId="1C237A77" w14:textId="77777777" w:rsidR="00A808EB" w:rsidRPr="00344C41" w:rsidRDefault="00A808EB" w:rsidP="005C1B0B">
            <w:pPr>
              <w:rPr>
                <w:rFonts w:cs="Times New Roman"/>
                <w:sz w:val="20"/>
                <w:szCs w:val="20"/>
              </w:rPr>
            </w:pPr>
            <w:r w:rsidRPr="00344C41">
              <w:rPr>
                <w:rFonts w:cs="Times New Roman"/>
                <w:sz w:val="20"/>
                <w:szCs w:val="20"/>
              </w:rPr>
              <w:t>HCe, SCe &amp; CEe with ROA</w:t>
            </w:r>
          </w:p>
        </w:tc>
        <w:tc>
          <w:tcPr>
            <w:tcW w:w="3119" w:type="dxa"/>
            <w:tcBorders>
              <w:top w:val="single" w:sz="4" w:space="0" w:color="auto"/>
              <w:left w:val="nil"/>
              <w:bottom w:val="single" w:sz="4" w:space="0" w:color="auto"/>
              <w:right w:val="nil"/>
            </w:tcBorders>
          </w:tcPr>
          <w:p w14:paraId="181DED71" w14:textId="77777777" w:rsidR="00A808EB" w:rsidRPr="00344C41" w:rsidRDefault="00A808EB" w:rsidP="005C1B0B">
            <w:pPr>
              <w:rPr>
                <w:rFonts w:cs="Times New Roman"/>
                <w:color w:val="FF0000"/>
                <w:sz w:val="20"/>
                <w:szCs w:val="20"/>
              </w:rPr>
            </w:pPr>
            <w:r w:rsidRPr="00344C41">
              <w:rPr>
                <w:rFonts w:cs="Times New Roman"/>
                <w:sz w:val="20"/>
                <w:szCs w:val="20"/>
              </w:rPr>
              <w:t>HCe, SCe &amp; CEe with ROE</w:t>
            </w:r>
          </w:p>
        </w:tc>
      </w:tr>
      <w:tr w:rsidR="00A808EB" w:rsidRPr="008D7BEC" w14:paraId="2FAFD81B" w14:textId="77777777" w:rsidTr="005C1B0B">
        <w:trPr>
          <w:gridAfter w:val="1"/>
          <w:wAfter w:w="75" w:type="dxa"/>
          <w:jc w:val="center"/>
        </w:trPr>
        <w:tc>
          <w:tcPr>
            <w:tcW w:w="2129" w:type="dxa"/>
            <w:gridSpan w:val="2"/>
            <w:tcBorders>
              <w:top w:val="single" w:sz="4" w:space="0" w:color="auto"/>
              <w:left w:val="nil"/>
              <w:bottom w:val="nil"/>
              <w:right w:val="nil"/>
            </w:tcBorders>
          </w:tcPr>
          <w:p w14:paraId="368B4EA7" w14:textId="77777777" w:rsidR="00A808EB" w:rsidRPr="00344C41" w:rsidRDefault="00A808EB" w:rsidP="005C1B0B">
            <w:pPr>
              <w:jc w:val="center"/>
              <w:rPr>
                <w:rFonts w:cs="Times New Roman"/>
                <w:sz w:val="20"/>
                <w:szCs w:val="20"/>
              </w:rPr>
            </w:pPr>
            <w:r w:rsidRPr="00344C41">
              <w:rPr>
                <w:rFonts w:cs="Times New Roman"/>
                <w:sz w:val="20"/>
                <w:szCs w:val="20"/>
              </w:rPr>
              <w:t>HCe</w:t>
            </w:r>
          </w:p>
        </w:tc>
        <w:tc>
          <w:tcPr>
            <w:tcW w:w="3224" w:type="dxa"/>
            <w:gridSpan w:val="2"/>
            <w:tcBorders>
              <w:top w:val="single" w:sz="4" w:space="0" w:color="auto"/>
              <w:left w:val="nil"/>
              <w:bottom w:val="nil"/>
              <w:right w:val="nil"/>
            </w:tcBorders>
          </w:tcPr>
          <w:p w14:paraId="19553BD4" w14:textId="77777777" w:rsidR="00A808EB" w:rsidRPr="008D7BEC" w:rsidRDefault="00A808EB" w:rsidP="005C1B0B">
            <w:pPr>
              <w:jc w:val="center"/>
              <w:rPr>
                <w:rFonts w:cs="Times New Roman"/>
                <w:sz w:val="20"/>
                <w:szCs w:val="20"/>
              </w:rPr>
            </w:pPr>
            <w:r w:rsidRPr="008D7BEC">
              <w:rPr>
                <w:rFonts w:cs="Times New Roman"/>
                <w:sz w:val="20"/>
                <w:szCs w:val="20"/>
              </w:rPr>
              <w:t>0.722</w:t>
            </w:r>
          </w:p>
          <w:p w14:paraId="75E501B7" w14:textId="77777777" w:rsidR="00A808EB" w:rsidRPr="008D7BEC" w:rsidRDefault="00A808EB" w:rsidP="005C1B0B">
            <w:pPr>
              <w:jc w:val="center"/>
              <w:rPr>
                <w:rFonts w:cs="Times New Roman"/>
                <w:i/>
                <w:iCs/>
                <w:sz w:val="20"/>
                <w:szCs w:val="20"/>
              </w:rPr>
            </w:pPr>
            <w:r w:rsidRPr="008D7BEC">
              <w:rPr>
                <w:rFonts w:cs="Times New Roman"/>
                <w:i/>
                <w:iCs/>
                <w:sz w:val="20"/>
                <w:szCs w:val="20"/>
              </w:rPr>
              <w:t>(0.000***)</w:t>
            </w:r>
          </w:p>
        </w:tc>
        <w:tc>
          <w:tcPr>
            <w:tcW w:w="3119" w:type="dxa"/>
            <w:tcBorders>
              <w:top w:val="single" w:sz="4" w:space="0" w:color="auto"/>
              <w:left w:val="nil"/>
              <w:bottom w:val="nil"/>
              <w:right w:val="nil"/>
            </w:tcBorders>
          </w:tcPr>
          <w:p w14:paraId="6D7FB12E" w14:textId="77777777" w:rsidR="00A808EB" w:rsidRPr="008D7BEC" w:rsidRDefault="00A808EB" w:rsidP="005C1B0B">
            <w:pPr>
              <w:jc w:val="center"/>
              <w:rPr>
                <w:rFonts w:cs="Times New Roman"/>
                <w:color w:val="000000"/>
                <w:sz w:val="20"/>
                <w:szCs w:val="20"/>
              </w:rPr>
            </w:pPr>
            <w:r w:rsidRPr="008D7BEC">
              <w:rPr>
                <w:rFonts w:cs="Times New Roman"/>
                <w:color w:val="000000"/>
                <w:sz w:val="20"/>
                <w:szCs w:val="20"/>
              </w:rPr>
              <w:t>0.628</w:t>
            </w:r>
          </w:p>
          <w:p w14:paraId="56BD1A89" w14:textId="77777777" w:rsidR="00A808EB" w:rsidRPr="008D7BEC" w:rsidRDefault="00A808EB" w:rsidP="005C1B0B">
            <w:pPr>
              <w:jc w:val="center"/>
              <w:rPr>
                <w:rFonts w:cs="Times New Roman"/>
                <w:i/>
                <w:iCs/>
                <w:sz w:val="20"/>
                <w:szCs w:val="20"/>
              </w:rPr>
            </w:pPr>
            <w:r w:rsidRPr="008D7BEC">
              <w:rPr>
                <w:rFonts w:cs="Times New Roman"/>
                <w:i/>
                <w:iCs/>
                <w:color w:val="000000"/>
                <w:sz w:val="20"/>
                <w:szCs w:val="20"/>
              </w:rPr>
              <w:t>(0</w:t>
            </w:r>
            <w:r w:rsidRPr="008D7BEC">
              <w:rPr>
                <w:rFonts w:cs="Times New Roman"/>
                <w:i/>
                <w:iCs/>
                <w:sz w:val="20"/>
                <w:szCs w:val="20"/>
              </w:rPr>
              <w:t>.000***)</w:t>
            </w:r>
          </w:p>
        </w:tc>
      </w:tr>
      <w:tr w:rsidR="00A808EB" w:rsidRPr="008D7BEC" w14:paraId="48D67BBF" w14:textId="77777777" w:rsidTr="005C1B0B">
        <w:trPr>
          <w:gridAfter w:val="1"/>
          <w:wAfter w:w="75" w:type="dxa"/>
          <w:jc w:val="center"/>
        </w:trPr>
        <w:tc>
          <w:tcPr>
            <w:tcW w:w="2129" w:type="dxa"/>
            <w:gridSpan w:val="2"/>
            <w:tcBorders>
              <w:top w:val="nil"/>
              <w:left w:val="nil"/>
              <w:bottom w:val="nil"/>
              <w:right w:val="nil"/>
            </w:tcBorders>
          </w:tcPr>
          <w:p w14:paraId="08025197" w14:textId="77777777" w:rsidR="00A808EB" w:rsidRPr="00344C41" w:rsidRDefault="00A808EB" w:rsidP="005C1B0B">
            <w:pPr>
              <w:jc w:val="center"/>
              <w:rPr>
                <w:rFonts w:cs="Times New Roman"/>
                <w:sz w:val="20"/>
                <w:szCs w:val="20"/>
              </w:rPr>
            </w:pPr>
            <w:r w:rsidRPr="00344C41">
              <w:rPr>
                <w:rFonts w:cs="Times New Roman"/>
                <w:sz w:val="20"/>
                <w:szCs w:val="20"/>
              </w:rPr>
              <w:t>SCe</w:t>
            </w:r>
          </w:p>
        </w:tc>
        <w:tc>
          <w:tcPr>
            <w:tcW w:w="3224" w:type="dxa"/>
            <w:gridSpan w:val="2"/>
            <w:tcBorders>
              <w:top w:val="nil"/>
              <w:left w:val="nil"/>
              <w:bottom w:val="nil"/>
              <w:right w:val="nil"/>
            </w:tcBorders>
          </w:tcPr>
          <w:p w14:paraId="5C00AFCC" w14:textId="77777777" w:rsidR="00A808EB" w:rsidRPr="008D7BEC" w:rsidRDefault="00A808EB" w:rsidP="005C1B0B">
            <w:pPr>
              <w:jc w:val="center"/>
              <w:rPr>
                <w:rFonts w:cs="Times New Roman"/>
                <w:sz w:val="20"/>
                <w:szCs w:val="20"/>
              </w:rPr>
            </w:pPr>
            <w:r w:rsidRPr="008D7BEC">
              <w:rPr>
                <w:rFonts w:cs="Times New Roman"/>
                <w:sz w:val="20"/>
                <w:szCs w:val="20"/>
              </w:rPr>
              <w:t>-0.067</w:t>
            </w:r>
          </w:p>
          <w:p w14:paraId="216509D1" w14:textId="77777777" w:rsidR="00A808EB" w:rsidRPr="008D7BEC" w:rsidRDefault="00A808EB" w:rsidP="005C1B0B">
            <w:pPr>
              <w:jc w:val="center"/>
              <w:rPr>
                <w:rFonts w:cs="Times New Roman"/>
                <w:i/>
                <w:iCs/>
                <w:sz w:val="20"/>
                <w:szCs w:val="20"/>
              </w:rPr>
            </w:pPr>
            <w:r w:rsidRPr="008D7BEC">
              <w:rPr>
                <w:rFonts w:cs="Times New Roman"/>
                <w:i/>
                <w:iCs/>
                <w:sz w:val="20"/>
                <w:szCs w:val="20"/>
              </w:rPr>
              <w:t>(0.539)</w:t>
            </w:r>
          </w:p>
        </w:tc>
        <w:tc>
          <w:tcPr>
            <w:tcW w:w="3119" w:type="dxa"/>
            <w:tcBorders>
              <w:top w:val="nil"/>
              <w:left w:val="nil"/>
              <w:bottom w:val="nil"/>
              <w:right w:val="nil"/>
            </w:tcBorders>
          </w:tcPr>
          <w:p w14:paraId="3C364F33" w14:textId="77777777" w:rsidR="00A808EB" w:rsidRPr="008D7BEC" w:rsidRDefault="00A808EB" w:rsidP="005C1B0B">
            <w:pPr>
              <w:jc w:val="center"/>
              <w:rPr>
                <w:rFonts w:cs="Times New Roman"/>
                <w:color w:val="000000"/>
                <w:sz w:val="20"/>
                <w:szCs w:val="20"/>
              </w:rPr>
            </w:pPr>
            <w:r w:rsidRPr="008D7BEC">
              <w:rPr>
                <w:rFonts w:cs="Times New Roman"/>
                <w:color w:val="000000"/>
                <w:sz w:val="20"/>
                <w:szCs w:val="20"/>
              </w:rPr>
              <w:t>0.176</w:t>
            </w:r>
          </w:p>
          <w:p w14:paraId="0A891AD1" w14:textId="77777777" w:rsidR="00A808EB" w:rsidRPr="008D7BEC" w:rsidRDefault="00A808EB" w:rsidP="005C1B0B">
            <w:pPr>
              <w:jc w:val="center"/>
              <w:rPr>
                <w:rFonts w:cs="Times New Roman"/>
                <w:i/>
                <w:iCs/>
                <w:color w:val="FF0000"/>
                <w:sz w:val="20"/>
                <w:szCs w:val="20"/>
              </w:rPr>
            </w:pPr>
            <w:r w:rsidRPr="008D7BEC">
              <w:rPr>
                <w:rFonts w:cs="Times New Roman"/>
                <w:i/>
                <w:iCs/>
                <w:color w:val="000000"/>
                <w:sz w:val="20"/>
                <w:szCs w:val="20"/>
              </w:rPr>
              <w:t>(0.162)</w:t>
            </w:r>
          </w:p>
        </w:tc>
      </w:tr>
      <w:tr w:rsidR="00A808EB" w:rsidRPr="008D7BEC" w14:paraId="658BBE0B" w14:textId="77777777" w:rsidTr="005C1B0B">
        <w:trPr>
          <w:gridAfter w:val="1"/>
          <w:wAfter w:w="75" w:type="dxa"/>
          <w:jc w:val="center"/>
        </w:trPr>
        <w:tc>
          <w:tcPr>
            <w:tcW w:w="2129" w:type="dxa"/>
            <w:gridSpan w:val="2"/>
            <w:tcBorders>
              <w:top w:val="nil"/>
              <w:left w:val="nil"/>
              <w:bottom w:val="nil"/>
              <w:right w:val="nil"/>
            </w:tcBorders>
          </w:tcPr>
          <w:p w14:paraId="67563496" w14:textId="77777777" w:rsidR="00A808EB" w:rsidRPr="00344C41" w:rsidRDefault="00A808EB" w:rsidP="005C1B0B">
            <w:pPr>
              <w:jc w:val="center"/>
              <w:rPr>
                <w:rFonts w:cs="Times New Roman"/>
                <w:sz w:val="20"/>
                <w:szCs w:val="20"/>
              </w:rPr>
            </w:pPr>
            <w:r w:rsidRPr="00344C41">
              <w:rPr>
                <w:rFonts w:cs="Times New Roman"/>
                <w:sz w:val="20"/>
                <w:szCs w:val="20"/>
              </w:rPr>
              <w:t>CEe</w:t>
            </w:r>
          </w:p>
        </w:tc>
        <w:tc>
          <w:tcPr>
            <w:tcW w:w="3224" w:type="dxa"/>
            <w:gridSpan w:val="2"/>
            <w:tcBorders>
              <w:top w:val="nil"/>
              <w:left w:val="nil"/>
              <w:bottom w:val="nil"/>
              <w:right w:val="nil"/>
            </w:tcBorders>
          </w:tcPr>
          <w:p w14:paraId="712C5567" w14:textId="77777777" w:rsidR="00A808EB" w:rsidRPr="008D7BEC" w:rsidRDefault="00A808EB" w:rsidP="005C1B0B">
            <w:pPr>
              <w:jc w:val="center"/>
              <w:rPr>
                <w:rFonts w:cs="Times New Roman"/>
                <w:sz w:val="20"/>
                <w:szCs w:val="20"/>
              </w:rPr>
            </w:pPr>
            <w:r w:rsidRPr="008D7BEC">
              <w:rPr>
                <w:rFonts w:cs="Times New Roman"/>
                <w:sz w:val="20"/>
                <w:szCs w:val="20"/>
              </w:rPr>
              <w:t>0.350</w:t>
            </w:r>
          </w:p>
          <w:p w14:paraId="4CD5345F" w14:textId="77777777" w:rsidR="00A808EB" w:rsidRPr="008D7BEC" w:rsidRDefault="00A808EB" w:rsidP="005C1B0B">
            <w:pPr>
              <w:jc w:val="center"/>
              <w:rPr>
                <w:rFonts w:cs="Times New Roman"/>
                <w:i/>
                <w:iCs/>
                <w:sz w:val="20"/>
                <w:szCs w:val="20"/>
              </w:rPr>
            </w:pPr>
            <w:r w:rsidRPr="008D7BEC">
              <w:rPr>
                <w:rFonts w:cs="Times New Roman"/>
                <w:i/>
                <w:iCs/>
                <w:sz w:val="20"/>
                <w:szCs w:val="20"/>
              </w:rPr>
              <w:t>(0.002***)</w:t>
            </w:r>
          </w:p>
        </w:tc>
        <w:tc>
          <w:tcPr>
            <w:tcW w:w="3119" w:type="dxa"/>
            <w:tcBorders>
              <w:top w:val="nil"/>
              <w:left w:val="nil"/>
              <w:bottom w:val="nil"/>
              <w:right w:val="nil"/>
            </w:tcBorders>
          </w:tcPr>
          <w:p w14:paraId="2A470657" w14:textId="77777777" w:rsidR="00A808EB" w:rsidRPr="008D7BEC" w:rsidRDefault="00A808EB" w:rsidP="005C1B0B">
            <w:pPr>
              <w:jc w:val="center"/>
              <w:rPr>
                <w:rFonts w:cs="Times New Roman"/>
                <w:color w:val="000000"/>
                <w:sz w:val="20"/>
                <w:szCs w:val="20"/>
              </w:rPr>
            </w:pPr>
            <w:r w:rsidRPr="008D7BEC">
              <w:rPr>
                <w:rFonts w:cs="Times New Roman"/>
                <w:color w:val="000000"/>
                <w:sz w:val="20"/>
                <w:szCs w:val="20"/>
              </w:rPr>
              <w:t>0.325</w:t>
            </w:r>
          </w:p>
          <w:p w14:paraId="01CB0BAE" w14:textId="77777777" w:rsidR="00A808EB" w:rsidRPr="008D7BEC" w:rsidRDefault="00A808EB" w:rsidP="005C1B0B">
            <w:pPr>
              <w:jc w:val="center"/>
              <w:rPr>
                <w:rFonts w:cs="Times New Roman"/>
                <w:i/>
                <w:iCs/>
                <w:color w:val="FF0000"/>
                <w:sz w:val="20"/>
                <w:szCs w:val="20"/>
              </w:rPr>
            </w:pPr>
            <w:r w:rsidRPr="008D7BEC">
              <w:rPr>
                <w:rFonts w:cs="Times New Roman"/>
                <w:i/>
                <w:iCs/>
                <w:color w:val="000000"/>
                <w:sz w:val="20"/>
                <w:szCs w:val="20"/>
              </w:rPr>
              <w:t>(0.011**)</w:t>
            </w:r>
          </w:p>
        </w:tc>
      </w:tr>
      <w:tr w:rsidR="00A808EB" w:rsidRPr="008D7BEC" w14:paraId="04260D0A" w14:textId="77777777" w:rsidTr="005C1B0B">
        <w:trPr>
          <w:gridAfter w:val="1"/>
          <w:wAfter w:w="75" w:type="dxa"/>
          <w:jc w:val="center"/>
        </w:trPr>
        <w:tc>
          <w:tcPr>
            <w:tcW w:w="2129" w:type="dxa"/>
            <w:gridSpan w:val="2"/>
            <w:tcBorders>
              <w:top w:val="nil"/>
              <w:left w:val="nil"/>
              <w:bottom w:val="nil"/>
              <w:right w:val="nil"/>
            </w:tcBorders>
          </w:tcPr>
          <w:p w14:paraId="3D068FCE" w14:textId="77777777" w:rsidR="00A808EB" w:rsidRPr="00344C41" w:rsidRDefault="00A808EB" w:rsidP="005C1B0B">
            <w:pPr>
              <w:jc w:val="center"/>
              <w:rPr>
                <w:rFonts w:cs="Times New Roman"/>
                <w:sz w:val="20"/>
                <w:szCs w:val="20"/>
              </w:rPr>
            </w:pPr>
            <w:r w:rsidRPr="00344C41">
              <w:rPr>
                <w:rFonts w:cs="Times New Roman"/>
                <w:sz w:val="20"/>
                <w:szCs w:val="20"/>
              </w:rPr>
              <w:t>Size</w:t>
            </w:r>
          </w:p>
        </w:tc>
        <w:tc>
          <w:tcPr>
            <w:tcW w:w="3224" w:type="dxa"/>
            <w:gridSpan w:val="2"/>
            <w:tcBorders>
              <w:top w:val="nil"/>
              <w:left w:val="nil"/>
              <w:bottom w:val="nil"/>
              <w:right w:val="nil"/>
            </w:tcBorders>
          </w:tcPr>
          <w:p w14:paraId="3FC79A38" w14:textId="77777777" w:rsidR="00A808EB" w:rsidRPr="008D7BEC" w:rsidRDefault="00A808EB" w:rsidP="005C1B0B">
            <w:pPr>
              <w:jc w:val="center"/>
              <w:rPr>
                <w:rFonts w:cs="Times New Roman"/>
                <w:sz w:val="20"/>
                <w:szCs w:val="20"/>
              </w:rPr>
            </w:pPr>
            <w:r w:rsidRPr="008D7BEC">
              <w:rPr>
                <w:rFonts w:cs="Times New Roman"/>
                <w:sz w:val="20"/>
                <w:szCs w:val="20"/>
              </w:rPr>
              <w:t>-0.078</w:t>
            </w:r>
          </w:p>
          <w:p w14:paraId="67741BA6" w14:textId="77777777" w:rsidR="00A808EB" w:rsidRPr="008D7BEC" w:rsidRDefault="00A808EB" w:rsidP="005C1B0B">
            <w:pPr>
              <w:jc w:val="center"/>
              <w:rPr>
                <w:rFonts w:cs="Times New Roman"/>
                <w:i/>
                <w:iCs/>
                <w:sz w:val="20"/>
                <w:szCs w:val="20"/>
              </w:rPr>
            </w:pPr>
            <w:r w:rsidRPr="008D7BEC">
              <w:rPr>
                <w:rFonts w:cs="Times New Roman"/>
                <w:i/>
                <w:iCs/>
                <w:sz w:val="20"/>
                <w:szCs w:val="20"/>
              </w:rPr>
              <w:t>(0.582)</w:t>
            </w:r>
          </w:p>
        </w:tc>
        <w:tc>
          <w:tcPr>
            <w:tcW w:w="3119" w:type="dxa"/>
            <w:tcBorders>
              <w:top w:val="nil"/>
              <w:left w:val="nil"/>
              <w:bottom w:val="nil"/>
              <w:right w:val="nil"/>
            </w:tcBorders>
          </w:tcPr>
          <w:p w14:paraId="6C55B02E" w14:textId="77777777" w:rsidR="00A808EB" w:rsidRPr="008D7BEC" w:rsidRDefault="00A808EB" w:rsidP="005C1B0B">
            <w:pPr>
              <w:jc w:val="center"/>
              <w:rPr>
                <w:rFonts w:cs="Times New Roman"/>
                <w:color w:val="000000"/>
                <w:sz w:val="20"/>
                <w:szCs w:val="20"/>
              </w:rPr>
            </w:pPr>
            <w:r w:rsidRPr="008D7BEC">
              <w:rPr>
                <w:rFonts w:cs="Times New Roman"/>
                <w:color w:val="000000"/>
                <w:sz w:val="20"/>
                <w:szCs w:val="20"/>
              </w:rPr>
              <w:t>-0.171</w:t>
            </w:r>
          </w:p>
          <w:p w14:paraId="2E54BEBC" w14:textId="77777777" w:rsidR="00A808EB" w:rsidRPr="008D7BEC" w:rsidRDefault="00A808EB" w:rsidP="005C1B0B">
            <w:pPr>
              <w:jc w:val="center"/>
              <w:rPr>
                <w:rFonts w:cs="Times New Roman"/>
                <w:i/>
                <w:iCs/>
                <w:color w:val="FF0000"/>
                <w:sz w:val="20"/>
                <w:szCs w:val="20"/>
              </w:rPr>
            </w:pPr>
            <w:r w:rsidRPr="008D7BEC">
              <w:rPr>
                <w:rFonts w:cs="Times New Roman"/>
                <w:i/>
                <w:iCs/>
                <w:color w:val="000000"/>
                <w:sz w:val="20"/>
                <w:szCs w:val="20"/>
              </w:rPr>
              <w:t>(0.294)</w:t>
            </w:r>
          </w:p>
        </w:tc>
      </w:tr>
      <w:tr w:rsidR="00A808EB" w:rsidRPr="008D7BEC" w14:paraId="74918976" w14:textId="77777777" w:rsidTr="005C1B0B">
        <w:trPr>
          <w:gridAfter w:val="1"/>
          <w:wAfter w:w="75" w:type="dxa"/>
          <w:jc w:val="center"/>
        </w:trPr>
        <w:tc>
          <w:tcPr>
            <w:tcW w:w="2129" w:type="dxa"/>
            <w:gridSpan w:val="2"/>
            <w:tcBorders>
              <w:top w:val="nil"/>
              <w:left w:val="nil"/>
              <w:bottom w:val="nil"/>
              <w:right w:val="nil"/>
            </w:tcBorders>
          </w:tcPr>
          <w:p w14:paraId="42CEEAD6" w14:textId="77777777" w:rsidR="00A808EB" w:rsidRPr="00344C41" w:rsidRDefault="00A808EB" w:rsidP="005C1B0B">
            <w:pPr>
              <w:jc w:val="center"/>
              <w:rPr>
                <w:rFonts w:cs="Times New Roman"/>
                <w:sz w:val="20"/>
                <w:szCs w:val="20"/>
              </w:rPr>
            </w:pPr>
            <w:r w:rsidRPr="00344C41">
              <w:rPr>
                <w:rFonts w:cs="Times New Roman"/>
                <w:sz w:val="20"/>
                <w:szCs w:val="20"/>
              </w:rPr>
              <w:t>Lev</w:t>
            </w:r>
          </w:p>
        </w:tc>
        <w:tc>
          <w:tcPr>
            <w:tcW w:w="3224" w:type="dxa"/>
            <w:gridSpan w:val="2"/>
            <w:tcBorders>
              <w:top w:val="nil"/>
              <w:left w:val="nil"/>
              <w:bottom w:val="nil"/>
              <w:right w:val="nil"/>
            </w:tcBorders>
          </w:tcPr>
          <w:p w14:paraId="1713E20C" w14:textId="77777777" w:rsidR="00A808EB" w:rsidRPr="008D7BEC" w:rsidRDefault="00A808EB" w:rsidP="005C1B0B">
            <w:pPr>
              <w:jc w:val="center"/>
              <w:rPr>
                <w:rFonts w:cs="Times New Roman"/>
                <w:sz w:val="20"/>
                <w:szCs w:val="20"/>
              </w:rPr>
            </w:pPr>
            <w:r w:rsidRPr="008D7BEC">
              <w:rPr>
                <w:rFonts w:cs="Times New Roman"/>
                <w:sz w:val="20"/>
                <w:szCs w:val="20"/>
              </w:rPr>
              <w:t>-0.140</w:t>
            </w:r>
          </w:p>
          <w:p w14:paraId="70D392B7" w14:textId="77777777" w:rsidR="00A808EB" w:rsidRPr="008D7BEC" w:rsidRDefault="00A808EB" w:rsidP="005C1B0B">
            <w:pPr>
              <w:jc w:val="center"/>
              <w:rPr>
                <w:rFonts w:cs="Times New Roman"/>
                <w:i/>
                <w:iCs/>
                <w:sz w:val="20"/>
                <w:szCs w:val="20"/>
              </w:rPr>
            </w:pPr>
            <w:r w:rsidRPr="008D7BEC">
              <w:rPr>
                <w:rFonts w:cs="Times New Roman"/>
                <w:i/>
                <w:iCs/>
                <w:sz w:val="20"/>
                <w:szCs w:val="20"/>
              </w:rPr>
              <w:t>(0.158)</w:t>
            </w:r>
          </w:p>
        </w:tc>
        <w:tc>
          <w:tcPr>
            <w:tcW w:w="3119" w:type="dxa"/>
            <w:tcBorders>
              <w:top w:val="nil"/>
              <w:left w:val="nil"/>
              <w:bottom w:val="nil"/>
              <w:right w:val="nil"/>
            </w:tcBorders>
          </w:tcPr>
          <w:p w14:paraId="7FB064B2" w14:textId="77777777" w:rsidR="00A808EB" w:rsidRPr="008D7BEC" w:rsidRDefault="00A808EB" w:rsidP="005C1B0B">
            <w:pPr>
              <w:jc w:val="center"/>
              <w:rPr>
                <w:rFonts w:cs="Times New Roman"/>
                <w:color w:val="000000"/>
                <w:sz w:val="20"/>
                <w:szCs w:val="20"/>
              </w:rPr>
            </w:pPr>
            <w:r w:rsidRPr="008D7BEC">
              <w:rPr>
                <w:rFonts w:cs="Times New Roman"/>
                <w:color w:val="000000"/>
                <w:sz w:val="20"/>
                <w:szCs w:val="20"/>
              </w:rPr>
              <w:t>0.013</w:t>
            </w:r>
          </w:p>
          <w:p w14:paraId="2D14085C" w14:textId="77777777" w:rsidR="00A808EB" w:rsidRPr="008D7BEC" w:rsidRDefault="00A808EB" w:rsidP="005C1B0B">
            <w:pPr>
              <w:jc w:val="center"/>
              <w:rPr>
                <w:rFonts w:cs="Times New Roman"/>
                <w:i/>
                <w:iCs/>
                <w:color w:val="FF0000"/>
                <w:sz w:val="20"/>
                <w:szCs w:val="20"/>
              </w:rPr>
            </w:pPr>
            <w:r w:rsidRPr="008D7BEC">
              <w:rPr>
                <w:rFonts w:cs="Times New Roman"/>
                <w:i/>
                <w:iCs/>
                <w:color w:val="000000"/>
                <w:sz w:val="20"/>
                <w:szCs w:val="20"/>
              </w:rPr>
              <w:t>(0.908)</w:t>
            </w:r>
          </w:p>
        </w:tc>
      </w:tr>
      <w:tr w:rsidR="00A808EB" w:rsidRPr="008D7BEC" w14:paraId="10519CB2" w14:textId="77777777" w:rsidTr="005C1B0B">
        <w:trPr>
          <w:gridAfter w:val="1"/>
          <w:wAfter w:w="75" w:type="dxa"/>
          <w:jc w:val="center"/>
        </w:trPr>
        <w:tc>
          <w:tcPr>
            <w:tcW w:w="2129" w:type="dxa"/>
            <w:gridSpan w:val="2"/>
            <w:tcBorders>
              <w:top w:val="nil"/>
              <w:left w:val="nil"/>
              <w:bottom w:val="nil"/>
              <w:right w:val="nil"/>
            </w:tcBorders>
          </w:tcPr>
          <w:p w14:paraId="0E535E1E" w14:textId="77777777" w:rsidR="00A808EB" w:rsidRPr="00344C41" w:rsidRDefault="00A808EB" w:rsidP="005C1B0B">
            <w:pPr>
              <w:jc w:val="center"/>
              <w:rPr>
                <w:rFonts w:cs="Times New Roman"/>
                <w:sz w:val="20"/>
                <w:szCs w:val="20"/>
              </w:rPr>
            </w:pPr>
            <w:r w:rsidRPr="00344C41">
              <w:rPr>
                <w:rFonts w:cs="Times New Roman"/>
                <w:sz w:val="20"/>
                <w:szCs w:val="20"/>
              </w:rPr>
              <w:t>Mkt</w:t>
            </w:r>
          </w:p>
        </w:tc>
        <w:tc>
          <w:tcPr>
            <w:tcW w:w="3224" w:type="dxa"/>
            <w:gridSpan w:val="2"/>
            <w:tcBorders>
              <w:top w:val="nil"/>
              <w:left w:val="nil"/>
              <w:bottom w:val="nil"/>
              <w:right w:val="nil"/>
            </w:tcBorders>
          </w:tcPr>
          <w:p w14:paraId="2F4E6E41" w14:textId="77777777" w:rsidR="00A808EB" w:rsidRPr="008D7BEC" w:rsidRDefault="00A808EB" w:rsidP="005C1B0B">
            <w:pPr>
              <w:jc w:val="center"/>
              <w:rPr>
                <w:rFonts w:cs="Times New Roman"/>
                <w:sz w:val="20"/>
                <w:szCs w:val="20"/>
              </w:rPr>
            </w:pPr>
            <w:r w:rsidRPr="008D7BEC">
              <w:rPr>
                <w:rFonts w:cs="Times New Roman"/>
                <w:sz w:val="20"/>
                <w:szCs w:val="20"/>
              </w:rPr>
              <w:t>0.104</w:t>
            </w:r>
          </w:p>
          <w:p w14:paraId="6EE886C8" w14:textId="77777777" w:rsidR="00A808EB" w:rsidRPr="008D7BEC" w:rsidRDefault="00A808EB" w:rsidP="005C1B0B">
            <w:pPr>
              <w:jc w:val="center"/>
              <w:rPr>
                <w:rFonts w:cs="Times New Roman"/>
                <w:i/>
                <w:iCs/>
                <w:sz w:val="20"/>
                <w:szCs w:val="20"/>
              </w:rPr>
            </w:pPr>
            <w:r w:rsidRPr="008D7BEC">
              <w:rPr>
                <w:rFonts w:cs="Times New Roman"/>
                <w:i/>
                <w:iCs/>
                <w:sz w:val="20"/>
                <w:szCs w:val="20"/>
              </w:rPr>
              <w:t>(0.341)</w:t>
            </w:r>
          </w:p>
        </w:tc>
        <w:tc>
          <w:tcPr>
            <w:tcW w:w="3119" w:type="dxa"/>
            <w:tcBorders>
              <w:top w:val="nil"/>
              <w:left w:val="nil"/>
              <w:bottom w:val="nil"/>
              <w:right w:val="nil"/>
            </w:tcBorders>
          </w:tcPr>
          <w:p w14:paraId="69879852" w14:textId="77777777" w:rsidR="00A808EB" w:rsidRPr="008D7BEC" w:rsidRDefault="00A808EB" w:rsidP="005C1B0B">
            <w:pPr>
              <w:jc w:val="center"/>
              <w:rPr>
                <w:rFonts w:cs="Times New Roman"/>
                <w:color w:val="000000"/>
                <w:sz w:val="20"/>
                <w:szCs w:val="20"/>
              </w:rPr>
            </w:pPr>
            <w:r w:rsidRPr="008D7BEC">
              <w:rPr>
                <w:rFonts w:cs="Times New Roman"/>
                <w:color w:val="000000"/>
                <w:sz w:val="20"/>
                <w:szCs w:val="20"/>
              </w:rPr>
              <w:t>0.094</w:t>
            </w:r>
          </w:p>
          <w:p w14:paraId="11EB70C3" w14:textId="77777777" w:rsidR="00A808EB" w:rsidRPr="008D7BEC" w:rsidRDefault="00A808EB" w:rsidP="005C1B0B">
            <w:pPr>
              <w:jc w:val="center"/>
              <w:rPr>
                <w:rFonts w:cs="Times New Roman"/>
                <w:i/>
                <w:iCs/>
                <w:color w:val="FF0000"/>
                <w:sz w:val="20"/>
                <w:szCs w:val="20"/>
              </w:rPr>
            </w:pPr>
            <w:r w:rsidRPr="008D7BEC">
              <w:rPr>
                <w:rFonts w:cs="Times New Roman"/>
                <w:i/>
                <w:iCs/>
                <w:color w:val="000000"/>
                <w:sz w:val="20"/>
                <w:szCs w:val="20"/>
              </w:rPr>
              <w:t>(0.449)</w:t>
            </w:r>
          </w:p>
        </w:tc>
      </w:tr>
      <w:tr w:rsidR="00A808EB" w:rsidRPr="00344C41" w14:paraId="3C49DCEE" w14:textId="77777777" w:rsidTr="005C1B0B">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jc w:val="center"/>
        </w:trPr>
        <w:tc>
          <w:tcPr>
            <w:tcW w:w="1809" w:type="dxa"/>
            <w:tcBorders>
              <w:top w:val="single" w:sz="4" w:space="0" w:color="auto"/>
            </w:tcBorders>
          </w:tcPr>
          <w:p w14:paraId="25F50074" w14:textId="77777777" w:rsidR="00A808EB" w:rsidRPr="00344C41" w:rsidRDefault="00A808EB" w:rsidP="005C1B0B">
            <w:pPr>
              <w:jc w:val="center"/>
              <w:rPr>
                <w:rFonts w:cs="Times New Roman"/>
                <w:i/>
                <w:iCs/>
                <w:sz w:val="20"/>
                <w:szCs w:val="20"/>
              </w:rPr>
            </w:pPr>
            <w:r w:rsidRPr="00344C41">
              <w:rPr>
                <w:rFonts w:cs="Times New Roman"/>
                <w:sz w:val="20"/>
                <w:szCs w:val="20"/>
                <w:lang w:bidi="ar-YE"/>
              </w:rPr>
              <w:t>Adjusted R</w:t>
            </w:r>
            <w:r w:rsidRPr="00344C41">
              <w:rPr>
                <w:rFonts w:cs="Times New Roman"/>
                <w:sz w:val="20"/>
                <w:szCs w:val="20"/>
                <w:vertAlign w:val="superscript"/>
                <w:lang w:bidi="ar-YE"/>
              </w:rPr>
              <w:t>2</w:t>
            </w:r>
          </w:p>
        </w:tc>
        <w:tc>
          <w:tcPr>
            <w:tcW w:w="3261" w:type="dxa"/>
            <w:gridSpan w:val="2"/>
            <w:tcBorders>
              <w:top w:val="single" w:sz="4" w:space="0" w:color="auto"/>
            </w:tcBorders>
          </w:tcPr>
          <w:p w14:paraId="431F26ED" w14:textId="77777777" w:rsidR="00A808EB" w:rsidRPr="008D7BEC" w:rsidRDefault="00A808EB" w:rsidP="005C1B0B">
            <w:pPr>
              <w:jc w:val="center"/>
              <w:rPr>
                <w:rFonts w:cs="Times New Roman"/>
                <w:sz w:val="20"/>
                <w:szCs w:val="20"/>
              </w:rPr>
            </w:pPr>
            <w:r w:rsidRPr="008D7BEC">
              <w:rPr>
                <w:rFonts w:cs="Times New Roman"/>
                <w:sz w:val="20"/>
                <w:szCs w:val="20"/>
              </w:rPr>
              <w:t>0.758</w:t>
            </w:r>
          </w:p>
          <w:p w14:paraId="1D252233" w14:textId="77777777" w:rsidR="00A808EB" w:rsidRPr="008D7BEC" w:rsidRDefault="00A808EB" w:rsidP="005C1B0B">
            <w:pPr>
              <w:jc w:val="center"/>
              <w:rPr>
                <w:rFonts w:cs="Times New Roman"/>
                <w:i/>
                <w:iCs/>
                <w:sz w:val="20"/>
                <w:szCs w:val="20"/>
              </w:rPr>
            </w:pPr>
            <w:r w:rsidRPr="008D7BEC">
              <w:rPr>
                <w:rFonts w:cs="Times New Roman"/>
                <w:i/>
                <w:iCs/>
                <w:sz w:val="20"/>
                <w:szCs w:val="20"/>
              </w:rPr>
              <w:t>(0.000***)</w:t>
            </w:r>
          </w:p>
        </w:tc>
        <w:tc>
          <w:tcPr>
            <w:tcW w:w="3482" w:type="dxa"/>
            <w:gridSpan w:val="3"/>
            <w:tcBorders>
              <w:top w:val="single" w:sz="4" w:space="0" w:color="auto"/>
            </w:tcBorders>
          </w:tcPr>
          <w:p w14:paraId="349DB8AC" w14:textId="77777777" w:rsidR="00A808EB" w:rsidRPr="008D7BEC" w:rsidRDefault="00A808EB" w:rsidP="005C1B0B">
            <w:pPr>
              <w:jc w:val="center"/>
              <w:rPr>
                <w:rFonts w:cs="Times New Roman"/>
                <w:sz w:val="20"/>
                <w:szCs w:val="20"/>
              </w:rPr>
            </w:pPr>
            <w:r w:rsidRPr="008D7BEC">
              <w:rPr>
                <w:rFonts w:cs="Times New Roman"/>
                <w:sz w:val="20"/>
                <w:szCs w:val="20"/>
              </w:rPr>
              <w:t>0.687</w:t>
            </w:r>
          </w:p>
          <w:p w14:paraId="21C27687" w14:textId="77777777" w:rsidR="00A808EB" w:rsidRPr="008D7BEC" w:rsidRDefault="00A808EB" w:rsidP="005C1B0B">
            <w:pPr>
              <w:jc w:val="center"/>
              <w:rPr>
                <w:rFonts w:cs="Times New Roman"/>
                <w:i/>
                <w:iCs/>
                <w:sz w:val="20"/>
                <w:szCs w:val="20"/>
              </w:rPr>
            </w:pPr>
            <w:r w:rsidRPr="008D7BEC">
              <w:rPr>
                <w:rFonts w:cs="Times New Roman"/>
                <w:i/>
                <w:iCs/>
                <w:sz w:val="20"/>
                <w:szCs w:val="20"/>
              </w:rPr>
              <w:t>(0.000***)</w:t>
            </w:r>
          </w:p>
        </w:tc>
      </w:tr>
      <w:tr w:rsidR="00A808EB" w:rsidRPr="00344C41" w14:paraId="00960818" w14:textId="77777777" w:rsidTr="005C1B0B">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jc w:val="center"/>
        </w:trPr>
        <w:tc>
          <w:tcPr>
            <w:tcW w:w="1809" w:type="dxa"/>
          </w:tcPr>
          <w:p w14:paraId="78AD5FAA" w14:textId="77777777" w:rsidR="00A808EB" w:rsidRPr="00344C41" w:rsidRDefault="00A808EB" w:rsidP="005C1B0B">
            <w:pPr>
              <w:jc w:val="center"/>
              <w:rPr>
                <w:rFonts w:cs="Times New Roman"/>
                <w:i/>
                <w:iCs/>
                <w:sz w:val="20"/>
                <w:szCs w:val="20"/>
              </w:rPr>
            </w:pPr>
            <w:r w:rsidRPr="00344C41">
              <w:rPr>
                <w:rFonts w:cs="Times New Roman"/>
                <w:sz w:val="20"/>
                <w:szCs w:val="20"/>
                <w:lang w:bidi="ar-YE"/>
              </w:rPr>
              <w:t>R</w:t>
            </w:r>
            <w:r w:rsidRPr="00344C41">
              <w:rPr>
                <w:rFonts w:cs="Times New Roman"/>
                <w:sz w:val="20"/>
                <w:szCs w:val="20"/>
                <w:vertAlign w:val="superscript"/>
                <w:lang w:bidi="ar-YE"/>
              </w:rPr>
              <w:t>2</w:t>
            </w:r>
          </w:p>
        </w:tc>
        <w:tc>
          <w:tcPr>
            <w:tcW w:w="3261" w:type="dxa"/>
            <w:gridSpan w:val="2"/>
          </w:tcPr>
          <w:p w14:paraId="2E3BE85B" w14:textId="77777777" w:rsidR="00A808EB" w:rsidRPr="008D7BEC" w:rsidRDefault="00A808EB" w:rsidP="005C1B0B">
            <w:pPr>
              <w:jc w:val="center"/>
              <w:rPr>
                <w:rFonts w:cs="Times New Roman"/>
                <w:color w:val="FF0000"/>
                <w:sz w:val="20"/>
                <w:szCs w:val="20"/>
              </w:rPr>
            </w:pPr>
            <w:r w:rsidRPr="008D7BEC">
              <w:rPr>
                <w:rFonts w:cs="Times New Roman"/>
                <w:color w:val="000000"/>
                <w:sz w:val="20"/>
                <w:szCs w:val="20"/>
              </w:rPr>
              <w:t>0.798</w:t>
            </w:r>
          </w:p>
        </w:tc>
        <w:tc>
          <w:tcPr>
            <w:tcW w:w="3482" w:type="dxa"/>
            <w:gridSpan w:val="3"/>
          </w:tcPr>
          <w:p w14:paraId="4B4DBE9A" w14:textId="77777777" w:rsidR="00A808EB" w:rsidRPr="008D7BEC" w:rsidRDefault="00A808EB" w:rsidP="005C1B0B">
            <w:pPr>
              <w:jc w:val="center"/>
              <w:rPr>
                <w:rFonts w:cs="Times New Roman"/>
                <w:color w:val="FF0000"/>
                <w:sz w:val="20"/>
                <w:szCs w:val="20"/>
              </w:rPr>
            </w:pPr>
            <w:r w:rsidRPr="008D7BEC">
              <w:rPr>
                <w:rFonts w:cs="Times New Roman"/>
                <w:color w:val="000000"/>
                <w:sz w:val="20"/>
                <w:szCs w:val="20"/>
              </w:rPr>
              <w:t>0.739</w:t>
            </w:r>
          </w:p>
        </w:tc>
      </w:tr>
    </w:tbl>
    <w:p w14:paraId="16C134A6" w14:textId="77777777" w:rsidR="00A808EB" w:rsidRPr="00C94ABB" w:rsidRDefault="00A808EB" w:rsidP="00A808EB">
      <w:pPr>
        <w:rPr>
          <w:sz w:val="20"/>
          <w:szCs w:val="20"/>
          <w:lang w:val="en-MY"/>
        </w:rPr>
      </w:pPr>
      <w:r w:rsidRPr="00C94ABB">
        <w:rPr>
          <w:sz w:val="20"/>
          <w:szCs w:val="20"/>
          <w:lang w:val="en-MY"/>
        </w:rPr>
        <w:t>Notes: ***, **, * Significant at 1%, 5% &amp;10% respectively.</w:t>
      </w:r>
    </w:p>
    <w:p w14:paraId="0D0D7311" w14:textId="77777777" w:rsidR="00A808EB" w:rsidRPr="00C94ABB" w:rsidRDefault="00A808EB" w:rsidP="00A808EB">
      <w:pPr>
        <w:rPr>
          <w:sz w:val="20"/>
          <w:szCs w:val="20"/>
          <w:lang w:val="en-MY"/>
        </w:rPr>
      </w:pPr>
      <w:r w:rsidRPr="00C94ABB">
        <w:rPr>
          <w:sz w:val="20"/>
          <w:szCs w:val="20"/>
          <w:lang w:val="en-MY"/>
        </w:rPr>
        <w:t>Every variable, Beta coefficient is on the top line, Followed by the significant level in brackets &amp; italics.</w:t>
      </w:r>
    </w:p>
    <w:p w14:paraId="5803F8FA" w14:textId="77777777" w:rsidR="00A808EB" w:rsidRDefault="00A808EB" w:rsidP="00A808EB">
      <w:pPr>
        <w:rPr>
          <w:b/>
          <w:bCs/>
          <w:bdr w:val="none" w:sz="0" w:space="0" w:color="auto" w:frame="1"/>
          <w:shd w:val="clear" w:color="auto" w:fill="FFFFFF"/>
        </w:rPr>
      </w:pPr>
    </w:p>
    <w:p w14:paraId="2B736DF1" w14:textId="77777777" w:rsidR="00A808EB" w:rsidRPr="0006087A" w:rsidRDefault="00A808EB" w:rsidP="00A808EB">
      <w:pPr>
        <w:spacing w:after="240"/>
        <w:jc w:val="both"/>
        <w:rPr>
          <w:bdr w:val="none" w:sz="0" w:space="0" w:color="auto" w:frame="1"/>
          <w:shd w:val="clear" w:color="auto" w:fill="FFFFFF"/>
        </w:rPr>
      </w:pPr>
      <w:r w:rsidRPr="00963222">
        <w:rPr>
          <w:rFonts w:eastAsia="Calibri"/>
          <w:color w:val="FF0000"/>
        </w:rPr>
        <w:tab/>
      </w:r>
    </w:p>
    <w:p w14:paraId="064D93EA" w14:textId="77777777" w:rsidR="00A808EB" w:rsidRPr="00453C64" w:rsidRDefault="00A808EB" w:rsidP="00A808EB">
      <w:pPr>
        <w:spacing w:after="240"/>
        <w:ind w:firstLine="720"/>
        <w:jc w:val="both"/>
        <w:rPr>
          <w:rFonts w:asciiTheme="majorBidi" w:hAnsiTheme="majorBidi" w:cstheme="majorBidi"/>
        </w:rPr>
      </w:pPr>
      <w:r w:rsidRPr="0006087A">
        <w:rPr>
          <w:rFonts w:asciiTheme="majorBidi" w:hAnsiTheme="majorBidi" w:cstheme="majorBidi"/>
        </w:rPr>
        <w:t>Furthermore, the companies in the TT&amp;M sectors in both markets in Malaysia are impacted by HCe more than CEe. Telecommunications and media companies are generally capital intensive (Maverick, 2018), therefore, logically, efficient usage of this capital promotes higher company performance. However, as these companies are high-technology companies, less reliance on tangible capital and more influence of Structural Capital (SC) was expected. Unfortunately, SC did not significantly affect profitability of these companies. Perhaps it is because, in a developing country like Malaysia, these</w:t>
      </w:r>
      <w:r w:rsidRPr="00453C64">
        <w:rPr>
          <w:rFonts w:asciiTheme="majorBidi" w:hAnsiTheme="majorBidi" w:cstheme="majorBidi"/>
        </w:rPr>
        <w:t xml:space="preserve"> companies are still highly reliant on their tangible assets.</w:t>
      </w:r>
    </w:p>
    <w:p w14:paraId="693037EB" w14:textId="77777777" w:rsidR="00A808EB" w:rsidRPr="005A3787" w:rsidRDefault="00A808EB" w:rsidP="00A808EB">
      <w:pPr>
        <w:spacing w:after="240"/>
        <w:ind w:firstLine="720"/>
        <w:jc w:val="both"/>
        <w:rPr>
          <w:rFonts w:eastAsia="Calibri"/>
        </w:rPr>
      </w:pPr>
      <w:r w:rsidRPr="00963222">
        <w:rPr>
          <w:rFonts w:asciiTheme="majorBidi" w:hAnsiTheme="majorBidi" w:cstheme="majorBidi"/>
        </w:rPr>
        <w:t xml:space="preserve">Additionally, the above findings suggest that, even in high-technology companies, human capital is valuable, and the efficient utilisation of this capital substantially enhances the profitability of these companies. These results are credible as even in technology intensive companies, it is still the human resource who generate the ideas, as well as are the innovative, creative and reflective force in these companies.  In addition, innovation and wise decision-making by the management and employees are deemed even more critical in dynamic and </w:t>
      </w:r>
      <w:r w:rsidRPr="00963222">
        <w:rPr>
          <w:rFonts w:asciiTheme="majorBidi" w:hAnsiTheme="majorBidi" w:cstheme="majorBidi"/>
        </w:rPr>
        <w:lastRenderedPageBreak/>
        <w:t>volatile companies in the TT&amp;M sectors. Thus, the efficient use of human capital produces great rewards for the company and its shareholders in the form of higher ROA and ROE, respectively.</w:t>
      </w:r>
    </w:p>
    <w:p w14:paraId="79DE303F" w14:textId="77777777" w:rsidR="00A808EB" w:rsidRDefault="00A808EB" w:rsidP="00A808EB">
      <w:pPr>
        <w:jc w:val="both"/>
        <w:rPr>
          <w:rFonts w:eastAsia="Calibri"/>
          <w:color w:val="FF0000"/>
        </w:rPr>
      </w:pPr>
      <w:r>
        <w:rPr>
          <w:rFonts w:eastAsia="Calibri"/>
          <w:color w:val="FF0000"/>
        </w:rPr>
        <w:tab/>
      </w:r>
    </w:p>
    <w:p w14:paraId="5BEDE715" w14:textId="77777777" w:rsidR="00A808EB" w:rsidRDefault="00A808EB" w:rsidP="00A808EB">
      <w:pPr>
        <w:jc w:val="center"/>
        <w:rPr>
          <w:b/>
          <w:bCs/>
          <w:lang w:bidi="ar-YE"/>
        </w:rPr>
      </w:pPr>
      <w:r w:rsidRPr="00E51D96">
        <w:rPr>
          <w:b/>
          <w:bCs/>
          <w:lang w:bidi="ar-YE"/>
        </w:rPr>
        <w:t>CONCLUSION</w:t>
      </w:r>
    </w:p>
    <w:p w14:paraId="50C6F6C1" w14:textId="77777777" w:rsidR="00A808EB" w:rsidRPr="00E51D96" w:rsidRDefault="00A808EB" w:rsidP="00A808EB">
      <w:pPr>
        <w:jc w:val="center"/>
        <w:rPr>
          <w:rFonts w:asciiTheme="majorBidi" w:hAnsiTheme="majorBidi" w:cstheme="majorBidi"/>
          <w:b/>
          <w:bCs/>
          <w:highlight w:val="cyan"/>
        </w:rPr>
      </w:pPr>
    </w:p>
    <w:p w14:paraId="7BF53A0E" w14:textId="77777777" w:rsidR="00A808EB" w:rsidRPr="00963222" w:rsidRDefault="00A808EB" w:rsidP="00A808EB">
      <w:pPr>
        <w:spacing w:after="240"/>
        <w:jc w:val="both"/>
      </w:pPr>
      <w:r w:rsidRPr="007462D0">
        <w:rPr>
          <w:rFonts w:eastAsia="Calibri"/>
        </w:rPr>
        <w:t xml:space="preserve">This study examines the impact of VAIC and its components on firm performance of 37 Malaysian </w:t>
      </w:r>
      <w:r w:rsidRPr="00963222">
        <w:rPr>
          <w:rFonts w:eastAsia="Calibri"/>
        </w:rPr>
        <w:t>companies in the TT&amp;M</w:t>
      </w:r>
      <w:r w:rsidRPr="00963222">
        <w:t xml:space="preserve"> sectors </w:t>
      </w:r>
      <w:r w:rsidRPr="0006087A">
        <w:t>on the</w:t>
      </w:r>
      <w:r w:rsidRPr="00963222">
        <w:rPr>
          <w:rtl/>
        </w:rPr>
        <w:t xml:space="preserve"> </w:t>
      </w:r>
      <w:r w:rsidRPr="00963222">
        <w:t xml:space="preserve">main and ACE markets </w:t>
      </w:r>
      <w:r w:rsidRPr="00963222">
        <w:rPr>
          <w:rFonts w:eastAsia="Calibri"/>
        </w:rPr>
        <w:t>for the year 2018</w:t>
      </w:r>
      <w:r w:rsidRPr="00963222">
        <w:t>. The findings of this study that VAIC is a significant determinant of firm performance would be encouraging to companies in the TT&amp;M sectors as their investment in IC and its efficient usage substantially enhances their profitability. Therefore, TT&amp;M companies that want to improve their firm performance should also find ways to utilise their IC efficiently.</w:t>
      </w:r>
    </w:p>
    <w:p w14:paraId="09C1132A" w14:textId="77777777" w:rsidR="00A808EB" w:rsidRPr="00963222" w:rsidRDefault="00A808EB" w:rsidP="00A808EB">
      <w:pPr>
        <w:spacing w:after="240"/>
        <w:jc w:val="both"/>
      </w:pPr>
      <w:r w:rsidRPr="00963222">
        <w:tab/>
        <w:t xml:space="preserve">Similarly, the findings that HCe is an influential factor in augmenting firm performance should </w:t>
      </w:r>
      <w:r w:rsidRPr="0006087A">
        <w:t>convince these companies on the importance of recruiting, developing and retaining experienced and skilled human capital. The companies in the TT&amp;M sectors should consider motivating their employees to be innovative, creative and productive as HCe is a considerable determinant of both ROA and ROE. As the findings of this study are consistent with prior literature (Gan &amp; Saleh, 2008; Nimtrakoon, 2015; Rahim et al., 2017), it should be even more persuasive to companies in the TT&amp;M sectors on the value of HCe.</w:t>
      </w:r>
    </w:p>
    <w:p w14:paraId="4F08F146" w14:textId="77777777" w:rsidR="00A808EB" w:rsidRPr="0006087A" w:rsidRDefault="00A808EB" w:rsidP="00A808EB">
      <w:pPr>
        <w:spacing w:after="240"/>
        <w:jc w:val="both"/>
      </w:pPr>
      <w:r w:rsidRPr="00963222">
        <w:tab/>
        <w:t xml:space="preserve">Moreover, as the results suggest that CEe is still a significant factor in enhancing firm performance, but SCe is not, further investigation should be carried out by future researchers with the cooperation from these high-technology companies. The research could focus on possible reasons and solutions to generate profitability from SC. This is important because, if </w:t>
      </w:r>
      <w:r w:rsidRPr="0056192D">
        <w:t xml:space="preserve">possible, </w:t>
      </w:r>
      <w:r w:rsidRPr="0006087A">
        <w:t>these companies should attempt to gain more from SC. The intangible elements in a company makes it unique and drives its competitiveness and survival in a volatile market.</w:t>
      </w:r>
    </w:p>
    <w:p w14:paraId="251CDB0E" w14:textId="77777777" w:rsidR="00A808EB" w:rsidRPr="00963222" w:rsidRDefault="00A808EB" w:rsidP="00A808EB">
      <w:pPr>
        <w:spacing w:after="240"/>
        <w:jc w:val="both"/>
      </w:pPr>
      <w:r w:rsidRPr="0006087A">
        <w:tab/>
        <w:t>Furthermore, as the variable Mkt does not have a significant effect on firm performance, this is an indication that companies in the ACE market are not significantly different from their counterpart in the main market, at least not in terms of profitability. Therefore, it is deduced that the IC efficiency measures taken by the TT&amp;M companies in the main market should be as equally effective in the</w:t>
      </w:r>
      <w:r w:rsidRPr="00963222">
        <w:t xml:space="preserve"> ACE market companies in increasing firm performance.  </w:t>
      </w:r>
    </w:p>
    <w:p w14:paraId="5F0C6CA5" w14:textId="77777777" w:rsidR="00A808EB" w:rsidRPr="00963222" w:rsidRDefault="00A808EB" w:rsidP="00A808EB">
      <w:pPr>
        <w:spacing w:after="240"/>
        <w:jc w:val="both"/>
      </w:pPr>
      <w:r w:rsidRPr="00963222">
        <w:tab/>
        <w:t xml:space="preserve">The implications of this study are not only useful to the companies in the TT&amp;M sectors, as discussed above, the findings of this study could be beneficial to the government as the national policy maker. This is because, as mentioned earlier in this paper, the Industry4WRD is a national policy that affects the manufacturing and services sectors. The TT&amp;M sectors support the manufacturing and related service sectors. Therefore, TT&amp;M companies’ financial success and sustainability as well as factors that generate this financial success would be of interest to the policy maker. This is due to the fact that the financial health of companies in the TT&amp;M sectors would be essential in supporting the digital transformation of the other sectors, which is in line with the objectives of Industry4WRD. </w:t>
      </w:r>
    </w:p>
    <w:p w14:paraId="7AB0D77F" w14:textId="77777777" w:rsidR="00A808EB" w:rsidRDefault="00A808EB" w:rsidP="00A808EB">
      <w:pPr>
        <w:spacing w:after="240"/>
        <w:jc w:val="both"/>
      </w:pPr>
      <w:r w:rsidRPr="00963222">
        <w:tab/>
        <w:t xml:space="preserve">This study has focused specifically on companies in the TT&amp;M sectors, has only used profitability ratios as an indication of firm performance, and has restricted the sample period to one year of study, i.e. 2018. Thus, future research could extend this study by using various </w:t>
      </w:r>
      <w:r w:rsidRPr="00963222">
        <w:lastRenderedPageBreak/>
        <w:t xml:space="preserve">other relevant sectors, include several firm performance measures, and lengthen the sample period into a longitudinal study. </w:t>
      </w:r>
      <w:r w:rsidRPr="0006087A">
        <w:t>In addition, qualitative studies in the TT&amp;M sector would add value to the findings of this study.</w:t>
      </w:r>
      <w:r>
        <w:t xml:space="preserve"> </w:t>
      </w:r>
      <w:r w:rsidRPr="00963222">
        <w:t xml:space="preserve">Despite its limitations, it is hoped that the </w:t>
      </w:r>
      <w:r w:rsidRPr="00963222">
        <w:rPr>
          <w:rFonts w:asciiTheme="majorBidi" w:hAnsiTheme="majorBidi" w:cstheme="majorBidi"/>
        </w:rPr>
        <w:t>findings of this study would inspire continuity in the legacy of IC efficiency literature in Malaysia.</w:t>
      </w:r>
      <w:r w:rsidRPr="007462D0">
        <w:rPr>
          <w:rFonts w:asciiTheme="majorBidi" w:hAnsiTheme="majorBidi" w:cstheme="majorBidi"/>
        </w:rPr>
        <w:t xml:space="preserve">   </w:t>
      </w:r>
    </w:p>
    <w:p w14:paraId="6D481001" w14:textId="77777777" w:rsidR="00A808EB" w:rsidRPr="009E7D98" w:rsidRDefault="00A808EB" w:rsidP="00A808EB">
      <w:pPr>
        <w:spacing w:after="240"/>
        <w:jc w:val="both"/>
      </w:pPr>
    </w:p>
    <w:p w14:paraId="009AF3B9" w14:textId="77777777" w:rsidR="00A808EB" w:rsidRDefault="00A808EB" w:rsidP="00A808EB">
      <w:pPr>
        <w:pStyle w:val="Heading1"/>
        <w:numPr>
          <w:ilvl w:val="0"/>
          <w:numId w:val="0"/>
        </w:numPr>
        <w:spacing w:before="240" w:after="0"/>
        <w:rPr>
          <w:rFonts w:cs="Times New Roman"/>
          <w:sz w:val="24"/>
          <w:szCs w:val="24"/>
        </w:rPr>
      </w:pPr>
      <w:r w:rsidRPr="007462D0">
        <w:rPr>
          <w:rFonts w:cs="Times New Roman"/>
          <w:sz w:val="24"/>
          <w:szCs w:val="24"/>
        </w:rPr>
        <w:t>references</w:t>
      </w:r>
    </w:p>
    <w:p w14:paraId="5384AF56" w14:textId="77777777" w:rsidR="00A808EB" w:rsidRPr="00317A4A" w:rsidRDefault="00A808EB" w:rsidP="00A808EB"/>
    <w:p w14:paraId="244759C0" w14:textId="77777777" w:rsidR="00A808EB" w:rsidRPr="001F4315" w:rsidRDefault="00A808EB" w:rsidP="00A808EB">
      <w:pPr>
        <w:ind w:left="680" w:hanging="680"/>
        <w:jc w:val="both"/>
        <w:rPr>
          <w:rFonts w:eastAsia="Calibri"/>
          <w:noProof/>
        </w:rPr>
      </w:pPr>
      <w:r w:rsidRPr="00794145">
        <w:rPr>
          <w:shd w:val="clear" w:color="auto" w:fill="FFFFFF"/>
        </w:rPr>
        <w:t xml:space="preserve">Asiaei, K., Barani, O., Bontis, N., &amp; Arabahmadi, M. (2020). </w:t>
      </w:r>
      <w:r w:rsidRPr="00794145">
        <w:rPr>
          <w:rFonts w:eastAsia="Calibri"/>
          <w:noProof/>
        </w:rPr>
        <w:t xml:space="preserve">Unpacking the black box: How intrapreneurship intervenes in the intellectual capital-performance relationship? </w:t>
      </w:r>
      <w:r w:rsidRPr="00794145">
        <w:rPr>
          <w:rFonts w:eastAsia="Calibri"/>
          <w:i/>
          <w:iCs/>
          <w:noProof/>
        </w:rPr>
        <w:t>Journal of Intellectual Capital</w:t>
      </w:r>
      <w:r w:rsidRPr="00794145">
        <w:rPr>
          <w:rFonts w:eastAsia="Calibri"/>
          <w:noProof/>
        </w:rPr>
        <w:t xml:space="preserve"> (ahead of print) </w:t>
      </w:r>
      <w:hyperlink r:id="rId8" w:tooltip="DOI: https://doi.org/10.1108/JIC-06-2019-0147." w:history="1">
        <w:r w:rsidRPr="00794145">
          <w:rPr>
            <w:rFonts w:eastAsia="Calibri"/>
            <w:noProof/>
          </w:rPr>
          <w:t>https://doi.org/10.1108/JIC-06-2019-0147</w:t>
        </w:r>
      </w:hyperlink>
      <w:r w:rsidRPr="00794145">
        <w:rPr>
          <w:rFonts w:eastAsia="Calibri"/>
          <w:noProof/>
        </w:rPr>
        <w:t xml:space="preserve"> </w:t>
      </w:r>
      <w:r w:rsidRPr="00794145">
        <w:t xml:space="preserve">(Downloaded: </w:t>
      </w:r>
      <w:r w:rsidRPr="00794145">
        <w:rPr>
          <w:rStyle w:val="Hyperlink"/>
        </w:rPr>
        <w:t>6 May 2020</w:t>
      </w:r>
      <w:r w:rsidRPr="00794145">
        <w:t>)</w:t>
      </w:r>
    </w:p>
    <w:p w14:paraId="604AE215" w14:textId="77777777" w:rsidR="00A808EB" w:rsidRPr="00D04D4A" w:rsidRDefault="00A808EB" w:rsidP="00A808EB">
      <w:pPr>
        <w:ind w:left="680" w:hanging="680"/>
        <w:jc w:val="both"/>
        <w:rPr>
          <w:shd w:val="clear" w:color="auto" w:fill="FFFFFF"/>
        </w:rPr>
      </w:pPr>
      <w:r w:rsidRPr="00E62032">
        <w:rPr>
          <w:rFonts w:eastAsia="Calibri"/>
          <w:noProof/>
        </w:rPr>
        <w:t>Bontis, N. (1998). Intellectual capital: an exploratory study that develops measures and models.</w:t>
      </w:r>
      <w:r w:rsidRPr="00E62032">
        <w:rPr>
          <w:rStyle w:val="apple-converted-space"/>
          <w:color w:val="222222"/>
          <w:shd w:val="clear" w:color="auto" w:fill="FFFFFF"/>
        </w:rPr>
        <w:t> </w:t>
      </w:r>
      <w:r w:rsidRPr="00D04D4A">
        <w:rPr>
          <w:i/>
          <w:iCs/>
          <w:shd w:val="clear" w:color="auto" w:fill="FFFFFF"/>
        </w:rPr>
        <w:t>Management decision,</w:t>
      </w:r>
      <w:r w:rsidRPr="00E62032">
        <w:rPr>
          <w:rStyle w:val="apple-converted-space"/>
          <w:color w:val="222222"/>
          <w:shd w:val="clear" w:color="auto" w:fill="FFFFFF"/>
        </w:rPr>
        <w:t> </w:t>
      </w:r>
      <w:r w:rsidRPr="0006087A">
        <w:rPr>
          <w:i/>
          <w:iCs/>
          <w:shd w:val="clear" w:color="auto" w:fill="FFFFFF"/>
        </w:rPr>
        <w:t>36</w:t>
      </w:r>
      <w:r w:rsidRPr="00D04D4A">
        <w:rPr>
          <w:shd w:val="clear" w:color="auto" w:fill="FFFFFF"/>
        </w:rPr>
        <w:t>(2), 63-76.</w:t>
      </w:r>
      <w:r w:rsidRPr="00D04D4A">
        <w:rPr>
          <w:shd w:val="clear" w:color="auto" w:fill="FFFFFF"/>
          <w:rtl/>
        </w:rPr>
        <w:t>‏</w:t>
      </w:r>
    </w:p>
    <w:p w14:paraId="33D01679" w14:textId="77777777" w:rsidR="00A808EB" w:rsidRPr="00D04D4A" w:rsidRDefault="00A808EB" w:rsidP="00A808EB">
      <w:pPr>
        <w:ind w:left="680" w:hanging="680"/>
        <w:jc w:val="both"/>
        <w:rPr>
          <w:shd w:val="clear" w:color="auto" w:fill="FFFFFF"/>
        </w:rPr>
      </w:pPr>
      <w:r w:rsidRPr="00D04D4A">
        <w:rPr>
          <w:shd w:val="clear" w:color="auto" w:fill="FFFFFF"/>
        </w:rPr>
        <w:t>Bontis, N., Janošević, S., &amp; Dženopoljac, V. (2015). Intellectual capital in Serbia’s hotel industry.</w:t>
      </w:r>
      <w:r w:rsidRPr="00E62032">
        <w:rPr>
          <w:color w:val="222222"/>
          <w:shd w:val="clear" w:color="auto" w:fill="FFFFFF"/>
        </w:rPr>
        <w:t> </w:t>
      </w:r>
      <w:r w:rsidRPr="00D04D4A">
        <w:rPr>
          <w:i/>
          <w:iCs/>
          <w:shd w:val="clear" w:color="auto" w:fill="FFFFFF"/>
        </w:rPr>
        <w:t>International Journal of Contemporary Hospitality Management, 27</w:t>
      </w:r>
      <w:r w:rsidRPr="00D04D4A">
        <w:rPr>
          <w:shd w:val="clear" w:color="auto" w:fill="FFFFFF"/>
        </w:rPr>
        <w:t>(6), 1365-1384.</w:t>
      </w:r>
      <w:r w:rsidRPr="00D04D4A">
        <w:rPr>
          <w:shd w:val="clear" w:color="auto" w:fill="FFFFFF"/>
          <w:rtl/>
        </w:rPr>
        <w:t>‏</w:t>
      </w:r>
    </w:p>
    <w:p w14:paraId="50FAE770" w14:textId="77777777" w:rsidR="00A808EB" w:rsidRPr="00D04D4A" w:rsidRDefault="00A808EB" w:rsidP="00A808EB">
      <w:pPr>
        <w:ind w:left="680" w:hanging="680"/>
        <w:jc w:val="both"/>
        <w:rPr>
          <w:shd w:val="clear" w:color="auto" w:fill="FFFFFF"/>
        </w:rPr>
      </w:pPr>
      <w:r w:rsidRPr="00D04D4A">
        <w:rPr>
          <w:shd w:val="clear" w:color="auto" w:fill="FFFFFF"/>
        </w:rPr>
        <w:t>Chiucchi, M. S., &amp; Dumay, J. (2015). Unlocking intellectual capital.</w:t>
      </w:r>
      <w:r w:rsidRPr="00E62032">
        <w:rPr>
          <w:rStyle w:val="apple-converted-space"/>
          <w:color w:val="222222"/>
          <w:shd w:val="clear" w:color="auto" w:fill="FFFFFF"/>
        </w:rPr>
        <w:t> </w:t>
      </w:r>
      <w:r w:rsidRPr="00D04D4A">
        <w:rPr>
          <w:i/>
          <w:iCs/>
          <w:shd w:val="clear" w:color="auto" w:fill="FFFFFF"/>
        </w:rPr>
        <w:t>Journal of Intellectual Capital,</w:t>
      </w:r>
      <w:r w:rsidRPr="00D04D4A">
        <w:rPr>
          <w:i/>
          <w:iCs/>
        </w:rPr>
        <w:t> </w:t>
      </w:r>
      <w:r w:rsidRPr="00D04D4A">
        <w:rPr>
          <w:i/>
          <w:iCs/>
          <w:shd w:val="clear" w:color="auto" w:fill="FFFFFF"/>
        </w:rPr>
        <w:t>16</w:t>
      </w:r>
      <w:r w:rsidRPr="00E62032">
        <w:rPr>
          <w:color w:val="222222"/>
          <w:shd w:val="clear" w:color="auto" w:fill="FFFFFF"/>
        </w:rPr>
        <w:t>(</w:t>
      </w:r>
      <w:r w:rsidRPr="00D04D4A">
        <w:rPr>
          <w:shd w:val="clear" w:color="auto" w:fill="FFFFFF"/>
        </w:rPr>
        <w:t>2), 305-330.</w:t>
      </w:r>
      <w:r w:rsidRPr="00D04D4A">
        <w:rPr>
          <w:shd w:val="clear" w:color="auto" w:fill="FFFFFF"/>
          <w:rtl/>
        </w:rPr>
        <w:t>‏</w:t>
      </w:r>
    </w:p>
    <w:p w14:paraId="448D9877" w14:textId="77777777" w:rsidR="00A808EB" w:rsidRPr="00D04D4A" w:rsidRDefault="00A808EB" w:rsidP="00A808EB">
      <w:pPr>
        <w:ind w:left="680" w:hanging="680"/>
        <w:jc w:val="both"/>
        <w:rPr>
          <w:shd w:val="clear" w:color="auto" w:fill="FFFFFF"/>
        </w:rPr>
      </w:pPr>
      <w:r w:rsidRPr="00D04D4A">
        <w:rPr>
          <w:rFonts w:eastAsia="Calibri"/>
          <w:noProof/>
        </w:rPr>
        <w:t xml:space="preserve">Chiucchi, M. S., Giuliani, M., &amp; Poli, S. (2018). The Relationship Between Intellectual Capital Performance and Ownership Gender Diversity in Small-Sized Italian Companies. </w:t>
      </w:r>
      <w:r w:rsidRPr="00D04D4A">
        <w:rPr>
          <w:i/>
          <w:iCs/>
          <w:shd w:val="clear" w:color="auto" w:fill="FFFFFF"/>
        </w:rPr>
        <w:t>In Gender Issues in Business and Economics</w:t>
      </w:r>
      <w:r>
        <w:rPr>
          <w:i/>
          <w:iCs/>
          <w:shd w:val="clear" w:color="auto" w:fill="FFFFFF"/>
        </w:rPr>
        <w:t xml:space="preserve"> </w:t>
      </w:r>
      <w:r>
        <w:rPr>
          <w:rFonts w:ascii="Arial" w:hAnsi="Arial" w:cs="Arial"/>
          <w:color w:val="222222"/>
          <w:sz w:val="20"/>
          <w:szCs w:val="20"/>
          <w:shd w:val="clear" w:color="auto" w:fill="FFFFFF"/>
        </w:rPr>
        <w:t xml:space="preserve">(pp. </w:t>
      </w:r>
      <w:r w:rsidRPr="00D04D4A">
        <w:rPr>
          <w:shd w:val="clear" w:color="auto" w:fill="FFFFFF"/>
        </w:rPr>
        <w:t>67-79). Springer, Cham.</w:t>
      </w:r>
    </w:p>
    <w:p w14:paraId="071EF2D6" w14:textId="77777777" w:rsidR="00A808EB" w:rsidRPr="00D04D4A" w:rsidRDefault="00A808EB" w:rsidP="00A808EB">
      <w:pPr>
        <w:ind w:left="680" w:hanging="680"/>
        <w:jc w:val="both"/>
        <w:rPr>
          <w:shd w:val="clear" w:color="auto" w:fill="FFFFFF"/>
        </w:rPr>
      </w:pPr>
      <w:r w:rsidRPr="00E62032">
        <w:rPr>
          <w:rFonts w:eastAsia="Calibri"/>
          <w:noProof/>
        </w:rPr>
        <w:t xml:space="preserve">Edvinsson, L., &amp; Sullivan, P. (1996). Developing a model for management intellectual capital. </w:t>
      </w:r>
      <w:r w:rsidRPr="00D04D4A">
        <w:rPr>
          <w:i/>
          <w:iCs/>
          <w:shd w:val="clear" w:color="auto" w:fill="FFFFFF"/>
        </w:rPr>
        <w:t>European Management Journal, 14</w:t>
      </w:r>
      <w:r w:rsidRPr="00D04D4A">
        <w:rPr>
          <w:shd w:val="clear" w:color="auto" w:fill="FFFFFF"/>
        </w:rPr>
        <w:t>(4), 187-199.</w:t>
      </w:r>
    </w:p>
    <w:p w14:paraId="4956BAE8" w14:textId="77777777" w:rsidR="00A808EB" w:rsidRPr="0067352E" w:rsidRDefault="00A808EB" w:rsidP="00A808EB">
      <w:pPr>
        <w:ind w:left="680" w:hanging="680"/>
        <w:jc w:val="both"/>
        <w:rPr>
          <w:shd w:val="clear" w:color="auto" w:fill="FFFFFF"/>
        </w:rPr>
      </w:pPr>
      <w:r w:rsidRPr="0067352E">
        <w:rPr>
          <w:rFonts w:eastAsia="Calibri"/>
          <w:noProof/>
        </w:rPr>
        <w:t>Erik Sveiby, K. A. R. L. (1997). The intangible assets monitor.</w:t>
      </w:r>
      <w:r w:rsidRPr="00E62032">
        <w:rPr>
          <w:rStyle w:val="apple-converted-space"/>
          <w:color w:val="222222"/>
          <w:shd w:val="clear" w:color="auto" w:fill="FFFFFF"/>
        </w:rPr>
        <w:t> </w:t>
      </w:r>
      <w:r w:rsidRPr="0067352E">
        <w:rPr>
          <w:i/>
          <w:iCs/>
          <w:shd w:val="clear" w:color="auto" w:fill="FFFFFF"/>
        </w:rPr>
        <w:t>Journal of Human Resource Costing &amp; Accounting,</w:t>
      </w:r>
      <w:r w:rsidRPr="0067352E">
        <w:rPr>
          <w:i/>
          <w:iCs/>
        </w:rPr>
        <w:t> </w:t>
      </w:r>
      <w:r w:rsidRPr="0067352E">
        <w:rPr>
          <w:i/>
          <w:iCs/>
          <w:shd w:val="clear" w:color="auto" w:fill="FFFFFF"/>
        </w:rPr>
        <w:t>2</w:t>
      </w:r>
      <w:r w:rsidRPr="00E62032">
        <w:rPr>
          <w:color w:val="222222"/>
          <w:shd w:val="clear" w:color="auto" w:fill="FFFFFF"/>
        </w:rPr>
        <w:t>(</w:t>
      </w:r>
      <w:r w:rsidRPr="0067352E">
        <w:rPr>
          <w:shd w:val="clear" w:color="auto" w:fill="FFFFFF"/>
        </w:rPr>
        <w:t>1), 73-97.</w:t>
      </w:r>
      <w:r w:rsidRPr="0067352E">
        <w:rPr>
          <w:shd w:val="clear" w:color="auto" w:fill="FFFFFF"/>
          <w:rtl/>
        </w:rPr>
        <w:t>‏</w:t>
      </w:r>
    </w:p>
    <w:p w14:paraId="1F4D34D8" w14:textId="77777777" w:rsidR="00A808EB" w:rsidRDefault="00A808EB" w:rsidP="00A808EB">
      <w:pPr>
        <w:ind w:left="680" w:hanging="680"/>
        <w:jc w:val="both"/>
        <w:rPr>
          <w:rFonts w:eastAsia="Calibri"/>
          <w:noProof/>
        </w:rPr>
      </w:pPr>
      <w:r w:rsidRPr="00E62032">
        <w:rPr>
          <w:rFonts w:eastAsia="Calibri"/>
          <w:noProof/>
        </w:rPr>
        <w:t>Forte, W., Tucker, J., Matonti, G., &amp; Nicolò, G. (2017). Measuring the intellectual capital of Italian listed companies.</w:t>
      </w:r>
      <w:r w:rsidRPr="00E62032">
        <w:rPr>
          <w:color w:val="222222"/>
          <w:shd w:val="clear" w:color="auto" w:fill="FFFFFF"/>
        </w:rPr>
        <w:t> </w:t>
      </w:r>
      <w:r w:rsidRPr="00E62032">
        <w:rPr>
          <w:i/>
          <w:iCs/>
          <w:color w:val="222222"/>
          <w:shd w:val="clear" w:color="auto" w:fill="FFFFFF"/>
        </w:rPr>
        <w:t>Journal of Intellectual Capital</w:t>
      </w:r>
      <w:r w:rsidRPr="00353C3E">
        <w:rPr>
          <w:i/>
          <w:iCs/>
          <w:color w:val="222222"/>
          <w:shd w:val="clear" w:color="auto" w:fill="FFFFFF"/>
        </w:rPr>
        <w:t>,</w:t>
      </w:r>
      <w:r w:rsidRPr="00E62032">
        <w:rPr>
          <w:color w:val="222222"/>
          <w:shd w:val="clear" w:color="auto" w:fill="FFFFFF"/>
        </w:rPr>
        <w:t> </w:t>
      </w:r>
      <w:r w:rsidRPr="0006087A">
        <w:rPr>
          <w:rFonts w:eastAsia="Calibri"/>
          <w:i/>
          <w:iCs/>
          <w:noProof/>
        </w:rPr>
        <w:t>18</w:t>
      </w:r>
      <w:r w:rsidRPr="00E62032">
        <w:rPr>
          <w:rFonts w:eastAsia="Calibri"/>
          <w:noProof/>
        </w:rPr>
        <w:t>(4), 710-732</w:t>
      </w:r>
      <w:r w:rsidRPr="00E62032">
        <w:rPr>
          <w:color w:val="222222"/>
          <w:shd w:val="clear" w:color="auto" w:fill="FFFFFF"/>
        </w:rPr>
        <w:t>.</w:t>
      </w:r>
    </w:p>
    <w:p w14:paraId="6FF0FEC9" w14:textId="77777777" w:rsidR="00A808EB" w:rsidRDefault="00A808EB" w:rsidP="00A808EB">
      <w:pPr>
        <w:ind w:left="680" w:hanging="680"/>
        <w:jc w:val="both"/>
        <w:rPr>
          <w:rFonts w:eastAsia="Calibri"/>
          <w:noProof/>
        </w:rPr>
      </w:pPr>
      <w:r w:rsidRPr="00E62032">
        <w:rPr>
          <w:color w:val="222222"/>
          <w:shd w:val="clear" w:color="auto" w:fill="FFFFFF"/>
        </w:rPr>
        <w:t>Gan, K., &amp; Saleh, Z. (2008). Intellectual capital and corporate performance of technology-intensive companies: Malaysia evidence. </w:t>
      </w:r>
      <w:r w:rsidRPr="00E62032">
        <w:rPr>
          <w:i/>
          <w:iCs/>
          <w:color w:val="222222"/>
          <w:shd w:val="clear" w:color="auto" w:fill="FFFFFF"/>
        </w:rPr>
        <w:t>Asian journal of business and Accounting</w:t>
      </w:r>
      <w:r w:rsidRPr="00E62032">
        <w:rPr>
          <w:color w:val="222222"/>
          <w:shd w:val="clear" w:color="auto" w:fill="FFFFFF"/>
        </w:rPr>
        <w:t>, </w:t>
      </w:r>
      <w:r w:rsidRPr="00E62032">
        <w:rPr>
          <w:i/>
          <w:iCs/>
          <w:color w:val="222222"/>
          <w:shd w:val="clear" w:color="auto" w:fill="FFFFFF"/>
        </w:rPr>
        <w:t>1</w:t>
      </w:r>
      <w:r w:rsidRPr="00E62032">
        <w:rPr>
          <w:color w:val="222222"/>
          <w:shd w:val="clear" w:color="auto" w:fill="FFFFFF"/>
        </w:rPr>
        <w:t>(1), 113-130.</w:t>
      </w:r>
    </w:p>
    <w:p w14:paraId="0B6B4754" w14:textId="77777777" w:rsidR="00A808EB" w:rsidRPr="0067352E" w:rsidRDefault="00A808EB" w:rsidP="00A808EB">
      <w:pPr>
        <w:ind w:left="680" w:hanging="680"/>
        <w:jc w:val="both"/>
        <w:rPr>
          <w:shd w:val="clear" w:color="auto" w:fill="FFFFFF"/>
        </w:rPr>
      </w:pPr>
      <w:r w:rsidRPr="0067352E">
        <w:rPr>
          <w:color w:val="222222"/>
          <w:shd w:val="clear" w:color="auto" w:fill="FFFFFF"/>
        </w:rPr>
        <w:t>Goh, P. (2005). Intellectual capital performance of commercial banks in Malaysia.</w:t>
      </w:r>
      <w:r w:rsidRPr="00E62032">
        <w:rPr>
          <w:rStyle w:val="apple-converted-space"/>
          <w:color w:val="222222"/>
          <w:shd w:val="clear" w:color="auto" w:fill="FFFFFF"/>
        </w:rPr>
        <w:t> </w:t>
      </w:r>
      <w:r w:rsidRPr="00E62032">
        <w:rPr>
          <w:i/>
          <w:iCs/>
          <w:color w:val="222222"/>
          <w:shd w:val="clear" w:color="auto" w:fill="FFFFFF"/>
        </w:rPr>
        <w:t>Journal of intellectual capital</w:t>
      </w:r>
      <w:r w:rsidRPr="0067352E">
        <w:rPr>
          <w:i/>
          <w:iCs/>
          <w:color w:val="222222"/>
          <w:shd w:val="clear" w:color="auto" w:fill="FFFFFF"/>
        </w:rPr>
        <w:t>,</w:t>
      </w:r>
      <w:r w:rsidRPr="0067352E">
        <w:rPr>
          <w:i/>
          <w:iCs/>
        </w:rPr>
        <w:t> </w:t>
      </w:r>
      <w:r w:rsidRPr="00E62032">
        <w:rPr>
          <w:i/>
          <w:iCs/>
          <w:color w:val="222222"/>
          <w:shd w:val="clear" w:color="auto" w:fill="FFFFFF"/>
        </w:rPr>
        <w:t>6</w:t>
      </w:r>
      <w:r w:rsidRPr="0067352E">
        <w:rPr>
          <w:shd w:val="clear" w:color="auto" w:fill="FFFFFF"/>
        </w:rPr>
        <w:t>(3), 385-396.</w:t>
      </w:r>
      <w:r w:rsidRPr="0067352E">
        <w:rPr>
          <w:shd w:val="clear" w:color="auto" w:fill="FFFFFF"/>
          <w:rtl/>
        </w:rPr>
        <w:t>‏</w:t>
      </w:r>
    </w:p>
    <w:p w14:paraId="2D9C20FB" w14:textId="77777777" w:rsidR="00A808EB" w:rsidRDefault="00A808EB" w:rsidP="00A808EB">
      <w:pPr>
        <w:ind w:left="680" w:hanging="680"/>
        <w:jc w:val="both"/>
        <w:rPr>
          <w:rFonts w:eastAsia="Calibri"/>
          <w:noProof/>
        </w:rPr>
      </w:pPr>
      <w:r w:rsidRPr="0067352E">
        <w:rPr>
          <w:color w:val="222222"/>
          <w:shd w:val="clear" w:color="auto" w:fill="FFFFFF"/>
        </w:rPr>
        <w:t>Hunter, S., Kobelsky, K., Richardson, V.J. (2003). Information Technology and the Volatility of Firm Performance</w:t>
      </w:r>
      <w:r w:rsidRPr="0067352E">
        <w:rPr>
          <w:i/>
          <w:iCs/>
          <w:color w:val="222222"/>
          <w:shd w:val="clear" w:color="auto" w:fill="FFFFFF"/>
        </w:rPr>
        <w:t>. MIT Sloan School of Management Working Paper.</w:t>
      </w:r>
      <w:r w:rsidRPr="007462D0">
        <w:rPr>
          <w:highlight w:val="cyan"/>
        </w:rPr>
        <w:t xml:space="preserve"> </w:t>
      </w:r>
      <w:hyperlink r:id="rId9" w:history="1">
        <w:r w:rsidRPr="0067352E">
          <w:rPr>
            <w:rStyle w:val="Hyperlink"/>
          </w:rPr>
          <w:t>http://ssrn.com/</w:t>
        </w:r>
      </w:hyperlink>
      <w:r w:rsidRPr="0067352E">
        <w:t xml:space="preserve"> abstract=475641 (Downloaded: 9 May 2020).</w:t>
      </w:r>
    </w:p>
    <w:p w14:paraId="59AA1140" w14:textId="77777777" w:rsidR="00A808EB" w:rsidRDefault="00A808EB" w:rsidP="00A808EB">
      <w:pPr>
        <w:ind w:left="680" w:hanging="680"/>
        <w:jc w:val="both"/>
        <w:rPr>
          <w:rFonts w:eastAsia="Calibri"/>
          <w:noProof/>
        </w:rPr>
      </w:pPr>
      <w:r w:rsidRPr="0067352E">
        <w:rPr>
          <w:color w:val="222222"/>
          <w:shd w:val="clear" w:color="auto" w:fill="FFFFFF"/>
        </w:rPr>
        <w:t>Kehelwalatenna, S. (2016). Intellectual capital performance during financial crises.</w:t>
      </w:r>
      <w:r w:rsidRPr="00E62032">
        <w:rPr>
          <w:rStyle w:val="apple-converted-space"/>
          <w:color w:val="222222"/>
          <w:shd w:val="clear" w:color="auto" w:fill="FFFFFF"/>
        </w:rPr>
        <w:t> </w:t>
      </w:r>
      <w:r w:rsidRPr="00E62032">
        <w:rPr>
          <w:i/>
          <w:iCs/>
          <w:color w:val="222222"/>
          <w:shd w:val="clear" w:color="auto" w:fill="FFFFFF"/>
        </w:rPr>
        <w:t>Measuring Business Excellence</w:t>
      </w:r>
      <w:r w:rsidRPr="00E62032">
        <w:rPr>
          <w:color w:val="222222"/>
          <w:shd w:val="clear" w:color="auto" w:fill="FFFFFF"/>
        </w:rPr>
        <w:t>,</w:t>
      </w:r>
      <w:r w:rsidRPr="00E62032">
        <w:rPr>
          <w:rStyle w:val="apple-converted-space"/>
          <w:color w:val="222222"/>
          <w:shd w:val="clear" w:color="auto" w:fill="FFFFFF"/>
        </w:rPr>
        <w:t> </w:t>
      </w:r>
      <w:r w:rsidRPr="00E62032">
        <w:rPr>
          <w:i/>
          <w:iCs/>
          <w:color w:val="222222"/>
          <w:shd w:val="clear" w:color="auto" w:fill="FFFFFF"/>
        </w:rPr>
        <w:t>20</w:t>
      </w:r>
      <w:r w:rsidRPr="00E62032">
        <w:rPr>
          <w:rFonts w:eastAsia="Calibri"/>
          <w:noProof/>
        </w:rPr>
        <w:t>(3), 55-78.</w:t>
      </w:r>
      <w:r w:rsidRPr="00E62032">
        <w:rPr>
          <w:rFonts w:eastAsia="Calibri"/>
          <w:noProof/>
          <w:rtl/>
        </w:rPr>
        <w:t>‏</w:t>
      </w:r>
    </w:p>
    <w:p w14:paraId="6C64BCCF" w14:textId="77777777" w:rsidR="00A808EB" w:rsidRPr="00EA7A04" w:rsidRDefault="00A808EB" w:rsidP="00A808EB">
      <w:pPr>
        <w:ind w:left="680" w:hanging="680"/>
        <w:jc w:val="both"/>
        <w:rPr>
          <w:shd w:val="clear" w:color="auto" w:fill="FFFFFF"/>
        </w:rPr>
      </w:pPr>
      <w:r w:rsidRPr="00EA7A04">
        <w:rPr>
          <w:shd w:val="clear" w:color="auto" w:fill="FFFFFF"/>
        </w:rPr>
        <w:t>Kweh, Q. L., Chan, Y. C., &amp; Ting, I. W. K. (2013). Measuring intellectual capital efficiency in the Malaysian software sector.</w:t>
      </w:r>
      <w:r w:rsidRPr="00EA7A04">
        <w:rPr>
          <w:rFonts w:ascii="Arial" w:hAnsi="Arial" w:cs="Arial"/>
          <w:sz w:val="20"/>
          <w:szCs w:val="20"/>
          <w:shd w:val="clear" w:color="auto" w:fill="FFFFFF"/>
        </w:rPr>
        <w:t> </w:t>
      </w:r>
      <w:r w:rsidRPr="00EA7A04">
        <w:rPr>
          <w:i/>
          <w:iCs/>
          <w:shd w:val="clear" w:color="auto" w:fill="FFFFFF"/>
        </w:rPr>
        <w:t>Journal of Intellectual Capital, 14</w:t>
      </w:r>
      <w:r w:rsidRPr="00EA7A04">
        <w:rPr>
          <w:shd w:val="clear" w:color="auto" w:fill="FFFFFF"/>
        </w:rPr>
        <w:t>(2), 310-324.</w:t>
      </w:r>
    </w:p>
    <w:p w14:paraId="6FAC3500" w14:textId="77777777" w:rsidR="00A808EB" w:rsidRDefault="00A808EB" w:rsidP="00A808EB">
      <w:pPr>
        <w:ind w:left="680" w:hanging="680"/>
        <w:jc w:val="both"/>
        <w:rPr>
          <w:color w:val="222222"/>
          <w:shd w:val="clear" w:color="auto" w:fill="FFFFFF"/>
        </w:rPr>
      </w:pPr>
      <w:r w:rsidRPr="00EE0749">
        <w:rPr>
          <w:color w:val="222222"/>
          <w:shd w:val="clear" w:color="auto" w:fill="FFFFFF"/>
        </w:rPr>
        <w:t>Maji, S. G., &amp; Goswami, M. (2016). Intellectual capital and firm performance in emerging economies: the case of India.</w:t>
      </w:r>
      <w:r>
        <w:rPr>
          <w:rFonts w:ascii="Arial" w:hAnsi="Arial" w:cs="Arial"/>
          <w:color w:val="222222"/>
          <w:sz w:val="20"/>
          <w:szCs w:val="20"/>
          <w:shd w:val="clear" w:color="auto" w:fill="FFFFFF"/>
        </w:rPr>
        <w:t> </w:t>
      </w:r>
      <w:r w:rsidRPr="00EE0749">
        <w:rPr>
          <w:i/>
          <w:iCs/>
          <w:color w:val="222222"/>
          <w:shd w:val="clear" w:color="auto" w:fill="FFFFFF"/>
        </w:rPr>
        <w:t>Review of International Business and Strategy,</w:t>
      </w:r>
      <w:r w:rsidRPr="0067352E">
        <w:rPr>
          <w:i/>
          <w:iCs/>
          <w:color w:val="222222"/>
          <w:shd w:val="clear" w:color="auto" w:fill="FFFFFF"/>
        </w:rPr>
        <w:t> </w:t>
      </w:r>
      <w:r w:rsidRPr="00B833A5">
        <w:rPr>
          <w:i/>
          <w:iCs/>
          <w:color w:val="222222"/>
          <w:shd w:val="clear" w:color="auto" w:fill="FFFFFF"/>
        </w:rPr>
        <w:t>26</w:t>
      </w:r>
      <w:r>
        <w:rPr>
          <w:rFonts w:ascii="Arial" w:hAnsi="Arial" w:cs="Arial"/>
          <w:color w:val="222222"/>
          <w:sz w:val="20"/>
          <w:szCs w:val="20"/>
          <w:shd w:val="clear" w:color="auto" w:fill="FFFFFF"/>
        </w:rPr>
        <w:t>(</w:t>
      </w:r>
      <w:r w:rsidRPr="00EE0749">
        <w:rPr>
          <w:color w:val="222222"/>
          <w:shd w:val="clear" w:color="auto" w:fill="FFFFFF"/>
        </w:rPr>
        <w:t>3), 410-430.</w:t>
      </w:r>
      <w:r w:rsidRPr="00EE0749">
        <w:rPr>
          <w:color w:val="222222"/>
          <w:shd w:val="clear" w:color="auto" w:fill="FFFFFF"/>
          <w:rtl/>
        </w:rPr>
        <w:t>‏</w:t>
      </w:r>
    </w:p>
    <w:p w14:paraId="3C7A3F1B" w14:textId="77777777" w:rsidR="00A808EB" w:rsidRPr="004E26EB" w:rsidRDefault="00A808EB" w:rsidP="00A808EB">
      <w:pPr>
        <w:ind w:left="680" w:hanging="680"/>
        <w:jc w:val="both"/>
        <w:rPr>
          <w:rFonts w:eastAsia="Calibri"/>
          <w:noProof/>
        </w:rPr>
      </w:pPr>
      <w:r w:rsidRPr="00D5377C">
        <w:rPr>
          <w:color w:val="222222"/>
          <w:shd w:val="clear" w:color="auto" w:fill="FFFFFF"/>
        </w:rPr>
        <w:t>Maverick, J.B. (2018). Which types of industries have the largest capital expenditures?</w:t>
      </w:r>
      <w:r>
        <w:rPr>
          <w:highlight w:val="cyan"/>
        </w:rPr>
        <w:t xml:space="preserve"> </w:t>
      </w:r>
      <w:hyperlink r:id="rId10" w:history="1">
        <w:r w:rsidRPr="004E26EB">
          <w:rPr>
            <w:rStyle w:val="Hyperlink"/>
          </w:rPr>
          <w:t>https://www.investopedia.com/ask/answers/020915/which-types-industries-have-largest-capital-expenditures.asp</w:t>
        </w:r>
      </w:hyperlink>
      <w:r w:rsidRPr="004E26EB">
        <w:rPr>
          <w:rStyle w:val="Hyperlink"/>
        </w:rPr>
        <w:t xml:space="preserve"> (Downloaded: 11 May 2020)</w:t>
      </w:r>
      <w:r w:rsidRPr="004E26EB">
        <w:t>.</w:t>
      </w:r>
    </w:p>
    <w:p w14:paraId="38D3BD42" w14:textId="77777777" w:rsidR="00A808EB" w:rsidRPr="004E26EB" w:rsidRDefault="00A808EB" w:rsidP="00A808EB">
      <w:pPr>
        <w:ind w:left="680" w:hanging="680"/>
        <w:jc w:val="both"/>
        <w:rPr>
          <w:rFonts w:eastAsia="Calibri"/>
          <w:noProof/>
        </w:rPr>
      </w:pPr>
      <w:r w:rsidRPr="004E26EB">
        <w:rPr>
          <w:rFonts w:asciiTheme="majorBidi" w:hAnsiTheme="majorBidi" w:cstheme="majorBidi"/>
        </w:rPr>
        <w:lastRenderedPageBreak/>
        <w:t xml:space="preserve">Ministry of International Trade Industry (2020). Industry4WRD. </w:t>
      </w:r>
      <w:r w:rsidRPr="004E26EB">
        <w:rPr>
          <w:rFonts w:asciiTheme="majorBidi" w:hAnsiTheme="majorBidi" w:cstheme="majorBidi"/>
          <w:i/>
          <w:iCs/>
        </w:rPr>
        <w:t>Ministry of International Trade Industry Official website.</w:t>
      </w:r>
      <w:r w:rsidRPr="004E26EB">
        <w:rPr>
          <w:rFonts w:asciiTheme="majorBidi" w:hAnsiTheme="majorBidi" w:cstheme="majorBidi"/>
        </w:rPr>
        <w:t xml:space="preserve"> </w:t>
      </w:r>
      <w:hyperlink r:id="rId11" w:history="1">
        <w:r w:rsidRPr="004E26EB">
          <w:rPr>
            <w:rStyle w:val="Hyperlink"/>
          </w:rPr>
          <w:t>https://www.miti.gov.my/index.php/pages/view/ industry4WRD</w:t>
        </w:r>
      </w:hyperlink>
      <w:r w:rsidRPr="004E26EB">
        <w:t xml:space="preserve"> (Downloaded: 9 May 2020).</w:t>
      </w:r>
    </w:p>
    <w:p w14:paraId="2E106DA3" w14:textId="77777777" w:rsidR="00A808EB" w:rsidRPr="00D5377C" w:rsidRDefault="00A808EB" w:rsidP="00A808EB">
      <w:pPr>
        <w:ind w:left="680" w:hanging="680"/>
        <w:jc w:val="both"/>
        <w:rPr>
          <w:color w:val="222222"/>
          <w:shd w:val="clear" w:color="auto" w:fill="FFFFFF"/>
        </w:rPr>
      </w:pPr>
      <w:r w:rsidRPr="00E62032">
        <w:rPr>
          <w:color w:val="222222"/>
          <w:shd w:val="clear" w:color="auto" w:fill="FFFFFF"/>
        </w:rPr>
        <w:t>Mondal, A., &amp; Ghosh, S. K. (2012). Intellectual capital and financial performance of Indian banks.</w:t>
      </w:r>
      <w:r w:rsidRPr="00E62032">
        <w:rPr>
          <w:rStyle w:val="apple-converted-space"/>
          <w:color w:val="222222"/>
          <w:shd w:val="clear" w:color="auto" w:fill="FFFFFF"/>
        </w:rPr>
        <w:t> </w:t>
      </w:r>
      <w:r w:rsidRPr="00E62032">
        <w:rPr>
          <w:i/>
          <w:iCs/>
          <w:color w:val="222222"/>
          <w:shd w:val="clear" w:color="auto" w:fill="FFFFFF"/>
        </w:rPr>
        <w:t>Journal of Intellectual Capital</w:t>
      </w:r>
      <w:r w:rsidRPr="00D5377C">
        <w:rPr>
          <w:i/>
          <w:iCs/>
          <w:color w:val="222222"/>
          <w:shd w:val="clear" w:color="auto" w:fill="FFFFFF"/>
        </w:rPr>
        <w:t>,</w:t>
      </w:r>
      <w:r w:rsidRPr="00D5377C">
        <w:rPr>
          <w:i/>
          <w:iCs/>
        </w:rPr>
        <w:t> </w:t>
      </w:r>
      <w:r w:rsidRPr="00E62032">
        <w:rPr>
          <w:i/>
          <w:iCs/>
          <w:color w:val="222222"/>
          <w:shd w:val="clear" w:color="auto" w:fill="FFFFFF"/>
        </w:rPr>
        <w:t>13</w:t>
      </w:r>
      <w:r w:rsidRPr="00E62032">
        <w:rPr>
          <w:color w:val="222222"/>
          <w:shd w:val="clear" w:color="auto" w:fill="FFFFFF"/>
        </w:rPr>
        <w:t>(4), 515-530.</w:t>
      </w:r>
      <w:r w:rsidRPr="00E62032">
        <w:rPr>
          <w:color w:val="222222"/>
          <w:shd w:val="clear" w:color="auto" w:fill="FFFFFF"/>
          <w:rtl/>
        </w:rPr>
        <w:t>‏</w:t>
      </w:r>
    </w:p>
    <w:p w14:paraId="474AC5D4" w14:textId="77777777" w:rsidR="00A808EB" w:rsidRDefault="00A808EB" w:rsidP="00A808EB">
      <w:pPr>
        <w:ind w:left="680" w:hanging="680"/>
        <w:jc w:val="both"/>
        <w:rPr>
          <w:rFonts w:eastAsia="Calibri"/>
          <w:noProof/>
        </w:rPr>
      </w:pPr>
      <w:r w:rsidRPr="00E62032">
        <w:rPr>
          <w:rFonts w:eastAsia="Calibri"/>
          <w:noProof/>
        </w:rPr>
        <w:t>Nimtrakoon, S. (2015). The relationship between intellectual capital, firms’ market value and financial performance: Empirical evidence from the ASEAN.</w:t>
      </w:r>
      <w:r w:rsidRPr="00E62032">
        <w:rPr>
          <w:rStyle w:val="apple-converted-space"/>
          <w:color w:val="222222"/>
          <w:shd w:val="clear" w:color="auto" w:fill="FFFFFF"/>
        </w:rPr>
        <w:t> </w:t>
      </w:r>
      <w:r w:rsidRPr="00E62032">
        <w:rPr>
          <w:i/>
          <w:iCs/>
          <w:color w:val="222222"/>
          <w:shd w:val="clear" w:color="auto" w:fill="FFFFFF"/>
        </w:rPr>
        <w:t>Journal of Intellectual Capital</w:t>
      </w:r>
      <w:r w:rsidRPr="00E62032">
        <w:rPr>
          <w:color w:val="222222"/>
          <w:shd w:val="clear" w:color="auto" w:fill="FFFFFF"/>
        </w:rPr>
        <w:t>,</w:t>
      </w:r>
      <w:r w:rsidRPr="00E62032">
        <w:rPr>
          <w:rStyle w:val="apple-converted-space"/>
          <w:color w:val="222222"/>
          <w:shd w:val="clear" w:color="auto" w:fill="FFFFFF"/>
        </w:rPr>
        <w:t> </w:t>
      </w:r>
      <w:r w:rsidRPr="00E62032">
        <w:rPr>
          <w:i/>
          <w:iCs/>
          <w:color w:val="222222"/>
          <w:shd w:val="clear" w:color="auto" w:fill="FFFFFF"/>
        </w:rPr>
        <w:t>16</w:t>
      </w:r>
      <w:r w:rsidRPr="00E62032">
        <w:rPr>
          <w:color w:val="222222"/>
          <w:shd w:val="clear" w:color="auto" w:fill="FFFFFF"/>
        </w:rPr>
        <w:t>(</w:t>
      </w:r>
      <w:r w:rsidRPr="00E62032">
        <w:rPr>
          <w:rFonts w:eastAsia="Calibri"/>
          <w:noProof/>
        </w:rPr>
        <w:t>3), 587-618.</w:t>
      </w:r>
      <w:r w:rsidRPr="00E62032">
        <w:rPr>
          <w:rFonts w:eastAsia="Calibri"/>
          <w:noProof/>
          <w:rtl/>
        </w:rPr>
        <w:t>‏</w:t>
      </w:r>
    </w:p>
    <w:p w14:paraId="1A943806" w14:textId="77777777" w:rsidR="00A808EB" w:rsidRPr="00EA2914" w:rsidRDefault="00A808EB" w:rsidP="00A808EB">
      <w:pPr>
        <w:ind w:left="680" w:hanging="680"/>
        <w:jc w:val="both"/>
        <w:rPr>
          <w:rFonts w:eastAsia="Calibri"/>
          <w:noProof/>
        </w:rPr>
      </w:pPr>
      <w:r w:rsidRPr="00EA2914">
        <w:rPr>
          <w:shd w:val="clear" w:color="auto" w:fill="FFFFFF"/>
        </w:rPr>
        <w:t>Noradiva, H., Parastou, A., &amp; Azlina, A. (2016). The effects of managerial ownership on the relationship between intellectual capital performance and firm value</w:t>
      </w:r>
      <w:r w:rsidRPr="00EA2914">
        <w:rPr>
          <w:i/>
          <w:iCs/>
          <w:shd w:val="clear" w:color="auto" w:fill="FFFFFF"/>
        </w:rPr>
        <w:t>. International Journal of Social Science and Humanity, 6</w:t>
      </w:r>
      <w:r w:rsidRPr="00EA2914">
        <w:rPr>
          <w:shd w:val="clear" w:color="auto" w:fill="FFFFFF"/>
        </w:rPr>
        <w:t>(7), 514-518.</w:t>
      </w:r>
    </w:p>
    <w:p w14:paraId="43360822" w14:textId="77777777" w:rsidR="00A808EB" w:rsidRDefault="00A808EB" w:rsidP="00A808EB">
      <w:pPr>
        <w:ind w:left="680" w:hanging="680"/>
        <w:jc w:val="both"/>
        <w:rPr>
          <w:rFonts w:eastAsia="Calibri"/>
          <w:noProof/>
        </w:rPr>
      </w:pPr>
      <w:r w:rsidRPr="00E62032">
        <w:rPr>
          <w:color w:val="222222"/>
          <w:shd w:val="clear" w:color="auto" w:fill="FFFFFF"/>
        </w:rPr>
        <w:t>Ousama, A. A., &amp; Fatima, A. H. (2015). Intellectual capital and financial performance of Islamic banks. </w:t>
      </w:r>
      <w:r w:rsidRPr="00E62032">
        <w:rPr>
          <w:i/>
          <w:iCs/>
          <w:color w:val="222222"/>
          <w:shd w:val="clear" w:color="auto" w:fill="FFFFFF"/>
        </w:rPr>
        <w:t>International Journal of Learning and Intellectual Capital</w:t>
      </w:r>
      <w:r w:rsidRPr="00E62032">
        <w:rPr>
          <w:color w:val="222222"/>
          <w:shd w:val="clear" w:color="auto" w:fill="FFFFFF"/>
        </w:rPr>
        <w:t>, </w:t>
      </w:r>
      <w:r w:rsidRPr="00E62032">
        <w:rPr>
          <w:i/>
          <w:iCs/>
          <w:color w:val="222222"/>
          <w:shd w:val="clear" w:color="auto" w:fill="FFFFFF"/>
        </w:rPr>
        <w:t>12</w:t>
      </w:r>
      <w:r w:rsidRPr="00E62032">
        <w:rPr>
          <w:color w:val="222222"/>
          <w:shd w:val="clear" w:color="auto" w:fill="FFFFFF"/>
        </w:rPr>
        <w:t>(1), 1-15.</w:t>
      </w:r>
    </w:p>
    <w:p w14:paraId="0AE2E4E9" w14:textId="77777777" w:rsidR="00A808EB" w:rsidRPr="001225D8" w:rsidRDefault="00A808EB" w:rsidP="00A808EB">
      <w:pPr>
        <w:ind w:left="680" w:hanging="680"/>
        <w:jc w:val="both"/>
        <w:rPr>
          <w:rFonts w:eastAsia="Calibri"/>
          <w:noProof/>
          <w:color w:val="FF0000"/>
        </w:rPr>
      </w:pPr>
      <w:r w:rsidRPr="00B83F4B">
        <w:rPr>
          <w:shd w:val="clear" w:color="auto" w:fill="FFFFFF"/>
        </w:rPr>
        <w:t>Ozkan, N., Cakan, S., &amp; Kayacan, M. (2016). Intellectual capital and financial performance: A study of the Turkish Banking Sector.</w:t>
      </w:r>
      <w:r w:rsidRPr="00B83F4B">
        <w:rPr>
          <w:rStyle w:val="apple-converted-space"/>
          <w:shd w:val="clear" w:color="auto" w:fill="FFFFFF"/>
        </w:rPr>
        <w:t> </w:t>
      </w:r>
      <w:r w:rsidRPr="00B83F4B">
        <w:rPr>
          <w:i/>
          <w:iCs/>
          <w:shd w:val="clear" w:color="auto" w:fill="FFFFFF"/>
        </w:rPr>
        <w:t>Borsa Istanbul Review</w:t>
      </w:r>
      <w:r w:rsidRPr="00B83F4B">
        <w:t xml:space="preserve"> </w:t>
      </w:r>
      <w:r w:rsidRPr="00B83F4B">
        <w:rPr>
          <w:i/>
          <w:iCs/>
        </w:rPr>
        <w:t>17</w:t>
      </w:r>
      <w:r w:rsidRPr="00B83F4B">
        <w:t>(3), 190-198</w:t>
      </w:r>
      <w:r w:rsidRPr="000E1BE2">
        <w:rPr>
          <w:color w:val="FF0000"/>
          <w:shd w:val="clear" w:color="auto" w:fill="FFFFFF"/>
        </w:rPr>
        <w:t>.</w:t>
      </w:r>
      <w:r w:rsidRPr="000E1BE2">
        <w:rPr>
          <w:color w:val="FF0000"/>
          <w:shd w:val="clear" w:color="auto" w:fill="FFFFFF"/>
          <w:rtl/>
        </w:rPr>
        <w:t>‏</w:t>
      </w:r>
    </w:p>
    <w:p w14:paraId="3D7468FB" w14:textId="77777777" w:rsidR="00A808EB" w:rsidRPr="0006087A" w:rsidRDefault="00A808EB" w:rsidP="00A808EB">
      <w:pPr>
        <w:ind w:left="680" w:hanging="680"/>
        <w:jc w:val="both"/>
        <w:rPr>
          <w:shd w:val="clear" w:color="auto" w:fill="FFFFFF"/>
        </w:rPr>
      </w:pPr>
      <w:r w:rsidRPr="00794145">
        <w:rPr>
          <w:shd w:val="clear" w:color="auto" w:fill="FFFFFF"/>
        </w:rPr>
        <w:t xml:space="preserve">Pratama, B. C., Innayah, M. N., &amp; Darmawan, A. (2019). The Effect of Intellectual Capital towards Firm Financial Performance: Study in High-Tech Firms in Indonesia and Malaysia. </w:t>
      </w:r>
      <w:r w:rsidRPr="00794145">
        <w:rPr>
          <w:i/>
          <w:iCs/>
          <w:shd w:val="clear" w:color="auto" w:fill="FFFFFF"/>
        </w:rPr>
        <w:t>International Proceeding Asean Youth Conference 2018</w:t>
      </w:r>
      <w:r w:rsidRPr="00794145">
        <w:rPr>
          <w:shd w:val="clear" w:color="auto" w:fill="FFFFFF"/>
        </w:rPr>
        <w:t>, 685-691.</w:t>
      </w:r>
    </w:p>
    <w:p w14:paraId="35EC30B6" w14:textId="77777777" w:rsidR="00A808EB" w:rsidRPr="007D2CCC" w:rsidRDefault="00A808EB" w:rsidP="00A808EB">
      <w:pPr>
        <w:ind w:left="680" w:hanging="680"/>
        <w:jc w:val="both"/>
        <w:rPr>
          <w:rFonts w:eastAsia="Calibri"/>
          <w:noProof/>
        </w:rPr>
      </w:pPr>
      <w:r w:rsidRPr="007D2CCC">
        <w:rPr>
          <w:rFonts w:eastAsia="Calibri"/>
          <w:noProof/>
        </w:rPr>
        <w:t>Pulic, A. (1998, January). Measuring the performance of intellectual potential in knowledge economy. In</w:t>
      </w:r>
      <w:r w:rsidRPr="007D2CCC">
        <w:rPr>
          <w:rStyle w:val="apple-converted-space"/>
          <w:shd w:val="clear" w:color="auto" w:fill="FFFFFF"/>
        </w:rPr>
        <w:t> </w:t>
      </w:r>
      <w:r w:rsidRPr="007D2CCC">
        <w:rPr>
          <w:i/>
          <w:iCs/>
          <w:shd w:val="clear" w:color="auto" w:fill="FFFFFF"/>
        </w:rPr>
        <w:t>2nd McMaster Word Congress on Measuring and Managing Intellectual Capital by the Austrian Team for Intellectual Potential</w:t>
      </w:r>
      <w:r w:rsidRPr="007D2CCC">
        <w:rPr>
          <w:shd w:val="clear" w:color="auto" w:fill="FFFFFF"/>
        </w:rPr>
        <w:t>.</w:t>
      </w:r>
      <w:r w:rsidRPr="007D2CCC">
        <w:rPr>
          <w:shd w:val="clear" w:color="auto" w:fill="FFFFFF"/>
          <w:rtl/>
        </w:rPr>
        <w:t>‏</w:t>
      </w:r>
    </w:p>
    <w:p w14:paraId="4115938E" w14:textId="77777777" w:rsidR="00A808EB" w:rsidRDefault="00A808EB" w:rsidP="00A808EB">
      <w:pPr>
        <w:ind w:left="680" w:hanging="680"/>
        <w:jc w:val="both"/>
        <w:rPr>
          <w:rFonts w:eastAsia="Calibri"/>
          <w:noProof/>
        </w:rPr>
      </w:pPr>
      <w:r w:rsidRPr="00E62032">
        <w:rPr>
          <w:rFonts w:eastAsia="Calibri"/>
          <w:noProof/>
        </w:rPr>
        <w:t>Pulic, A. (2000). VAIC™–an accounting tool for IC management.</w:t>
      </w:r>
      <w:r w:rsidRPr="00E62032">
        <w:rPr>
          <w:rStyle w:val="apple-converted-space"/>
          <w:color w:val="222222"/>
          <w:shd w:val="clear" w:color="auto" w:fill="FFFFFF"/>
        </w:rPr>
        <w:t> </w:t>
      </w:r>
      <w:r w:rsidRPr="00E62032">
        <w:rPr>
          <w:i/>
          <w:iCs/>
          <w:color w:val="222222"/>
          <w:shd w:val="clear" w:color="auto" w:fill="FFFFFF"/>
        </w:rPr>
        <w:t>International journal of technology management</w:t>
      </w:r>
      <w:r w:rsidRPr="00E62032">
        <w:rPr>
          <w:color w:val="222222"/>
          <w:shd w:val="clear" w:color="auto" w:fill="FFFFFF"/>
        </w:rPr>
        <w:t>,</w:t>
      </w:r>
      <w:r w:rsidRPr="00E62032">
        <w:rPr>
          <w:rStyle w:val="apple-converted-space"/>
          <w:color w:val="222222"/>
          <w:shd w:val="clear" w:color="auto" w:fill="FFFFFF"/>
        </w:rPr>
        <w:t> </w:t>
      </w:r>
      <w:r w:rsidRPr="00E62032">
        <w:rPr>
          <w:i/>
          <w:iCs/>
          <w:color w:val="222222"/>
          <w:shd w:val="clear" w:color="auto" w:fill="FFFFFF"/>
        </w:rPr>
        <w:t>20</w:t>
      </w:r>
      <w:r w:rsidRPr="00E62032">
        <w:rPr>
          <w:rFonts w:eastAsia="Calibri"/>
          <w:noProof/>
        </w:rPr>
        <w:t>(5-8), 702-714.</w:t>
      </w:r>
      <w:r w:rsidRPr="00E62032">
        <w:rPr>
          <w:rFonts w:eastAsia="Calibri"/>
          <w:noProof/>
          <w:rtl/>
        </w:rPr>
        <w:t>‏</w:t>
      </w:r>
    </w:p>
    <w:p w14:paraId="73CA7577" w14:textId="77777777" w:rsidR="00A808EB" w:rsidRDefault="00A808EB" w:rsidP="00A808EB">
      <w:pPr>
        <w:ind w:left="680" w:hanging="680"/>
        <w:jc w:val="both"/>
        <w:rPr>
          <w:rFonts w:eastAsia="Calibri"/>
          <w:noProof/>
        </w:rPr>
      </w:pPr>
      <w:r w:rsidRPr="00E62032">
        <w:rPr>
          <w:rFonts w:eastAsia="Calibri"/>
          <w:noProof/>
        </w:rPr>
        <w:t>Pulic, A. (2004). Intellectual capital–does it create or destroy value?</w:t>
      </w:r>
      <w:r w:rsidRPr="00E62032">
        <w:rPr>
          <w:color w:val="222222"/>
          <w:shd w:val="clear" w:color="auto" w:fill="FFFFFF"/>
        </w:rPr>
        <w:t>.</w:t>
      </w:r>
      <w:r w:rsidRPr="00E62032">
        <w:rPr>
          <w:rStyle w:val="apple-converted-space"/>
          <w:color w:val="222222"/>
          <w:shd w:val="clear" w:color="auto" w:fill="FFFFFF"/>
        </w:rPr>
        <w:t> </w:t>
      </w:r>
      <w:r w:rsidRPr="00E62032">
        <w:rPr>
          <w:i/>
          <w:iCs/>
          <w:color w:val="222222"/>
          <w:shd w:val="clear" w:color="auto" w:fill="FFFFFF"/>
        </w:rPr>
        <w:t>Measuring business excellence</w:t>
      </w:r>
      <w:r w:rsidRPr="00E62032">
        <w:rPr>
          <w:color w:val="222222"/>
          <w:shd w:val="clear" w:color="auto" w:fill="FFFFFF"/>
        </w:rPr>
        <w:t>,</w:t>
      </w:r>
      <w:r w:rsidRPr="00E62032">
        <w:rPr>
          <w:rStyle w:val="apple-converted-space"/>
          <w:color w:val="222222"/>
          <w:shd w:val="clear" w:color="auto" w:fill="FFFFFF"/>
        </w:rPr>
        <w:t> </w:t>
      </w:r>
      <w:r w:rsidRPr="00E62032">
        <w:rPr>
          <w:i/>
          <w:iCs/>
          <w:color w:val="222222"/>
          <w:shd w:val="clear" w:color="auto" w:fill="FFFFFF"/>
        </w:rPr>
        <w:t>8</w:t>
      </w:r>
      <w:r w:rsidRPr="00E62032">
        <w:rPr>
          <w:rFonts w:eastAsia="Calibri"/>
          <w:noProof/>
        </w:rPr>
        <w:t>(1), 62-68.</w:t>
      </w:r>
      <w:r w:rsidRPr="00E62032">
        <w:rPr>
          <w:rFonts w:eastAsia="Calibri"/>
          <w:noProof/>
          <w:rtl/>
        </w:rPr>
        <w:t>‏</w:t>
      </w:r>
    </w:p>
    <w:p w14:paraId="39094FFD" w14:textId="77777777" w:rsidR="00A808EB" w:rsidRPr="00794145" w:rsidRDefault="00A808EB" w:rsidP="00A808EB">
      <w:pPr>
        <w:ind w:left="680" w:hanging="680"/>
        <w:jc w:val="both"/>
        <w:rPr>
          <w:rFonts w:eastAsia="Calibri"/>
          <w:noProof/>
        </w:rPr>
      </w:pPr>
      <w:r w:rsidRPr="009B2FAD">
        <w:rPr>
          <w:shd w:val="clear" w:color="auto" w:fill="FFFFFF"/>
        </w:rPr>
        <w:t>Radjenovic, T., &amp; Krstic, B. (2017).</w:t>
      </w:r>
      <w:r w:rsidRPr="009B2FAD">
        <w:rPr>
          <w:shd w:val="clear" w:color="auto" w:fill="FFFFFF"/>
          <w:lang w:val="en-MY"/>
        </w:rPr>
        <w:t xml:space="preserve"> Measuring Intellectual Capital of National </w:t>
      </w:r>
      <w:r w:rsidRPr="00794145">
        <w:rPr>
          <w:shd w:val="clear" w:color="auto" w:fill="FFFFFF"/>
          <w:lang w:val="en-MY"/>
        </w:rPr>
        <w:t>Economies</w:t>
      </w:r>
      <w:r w:rsidRPr="00794145">
        <w:rPr>
          <w:shd w:val="clear" w:color="auto" w:fill="FFFFFF"/>
        </w:rPr>
        <w:t>.</w:t>
      </w:r>
      <w:r w:rsidRPr="00794145">
        <w:rPr>
          <w:rFonts w:ascii="Arial" w:hAnsi="Arial" w:cs="Arial"/>
          <w:sz w:val="20"/>
          <w:szCs w:val="20"/>
          <w:shd w:val="clear" w:color="auto" w:fill="FFFFFF"/>
        </w:rPr>
        <w:t> </w:t>
      </w:r>
      <w:r w:rsidRPr="00794145">
        <w:rPr>
          <w:i/>
          <w:iCs/>
          <w:shd w:val="clear" w:color="auto" w:fill="FFFFFF"/>
        </w:rPr>
        <w:t>Ekonomika, 63</w:t>
      </w:r>
      <w:r w:rsidRPr="00794145">
        <w:rPr>
          <w:rFonts w:ascii="Arial" w:hAnsi="Arial" w:cs="Arial"/>
          <w:sz w:val="20"/>
          <w:szCs w:val="20"/>
          <w:shd w:val="clear" w:color="auto" w:fill="FFFFFF"/>
        </w:rPr>
        <w:t>(</w:t>
      </w:r>
      <w:r w:rsidRPr="00794145">
        <w:rPr>
          <w:rFonts w:eastAsia="Calibri"/>
          <w:noProof/>
        </w:rPr>
        <w:t>2), 31-43.</w:t>
      </w:r>
    </w:p>
    <w:p w14:paraId="354E7D32" w14:textId="77777777" w:rsidR="00A808EB" w:rsidRPr="0006087A" w:rsidRDefault="00A808EB" w:rsidP="00A808EB">
      <w:pPr>
        <w:ind w:left="680" w:hanging="680"/>
        <w:jc w:val="both"/>
        <w:rPr>
          <w:rFonts w:eastAsia="Calibri"/>
          <w:noProof/>
        </w:rPr>
      </w:pPr>
      <w:r w:rsidRPr="00794145">
        <w:rPr>
          <w:shd w:val="clear" w:color="auto" w:fill="FFFFFF"/>
        </w:rPr>
        <w:t>Rahim, A., Atan, R., &amp; Kamaluddin, A. (2017). Human capital efficiency and firm performance: An empirical study on Malaysian technology industry.</w:t>
      </w:r>
      <w:r w:rsidRPr="00794145">
        <w:rPr>
          <w:rFonts w:ascii="Arial" w:hAnsi="Arial" w:cs="Arial"/>
          <w:sz w:val="20"/>
          <w:szCs w:val="20"/>
          <w:shd w:val="clear" w:color="auto" w:fill="FFFFFF"/>
        </w:rPr>
        <w:t xml:space="preserve"> </w:t>
      </w:r>
      <w:r w:rsidRPr="00794145">
        <w:rPr>
          <w:i/>
          <w:iCs/>
          <w:shd w:val="clear" w:color="auto" w:fill="FFFFFF"/>
        </w:rPr>
        <w:t>In SHS Web of Conferences</w:t>
      </w:r>
      <w:r w:rsidRPr="00794145">
        <w:rPr>
          <w:rFonts w:ascii="Arial" w:hAnsi="Arial" w:cs="Arial"/>
          <w:sz w:val="20"/>
          <w:szCs w:val="20"/>
          <w:shd w:val="clear" w:color="auto" w:fill="FFFFFF"/>
        </w:rPr>
        <w:t> </w:t>
      </w:r>
      <w:r w:rsidRPr="00794145">
        <w:rPr>
          <w:rFonts w:eastAsia="Calibri"/>
          <w:noProof/>
        </w:rPr>
        <w:t>(Vol. 36, p. 00026). EDP Sciences.</w:t>
      </w:r>
    </w:p>
    <w:p w14:paraId="1F25AA4D" w14:textId="77777777" w:rsidR="00A808EB" w:rsidRDefault="00A808EB" w:rsidP="00A808EB">
      <w:pPr>
        <w:ind w:left="680" w:hanging="680"/>
        <w:jc w:val="both"/>
        <w:rPr>
          <w:rFonts w:eastAsia="Calibri"/>
          <w:noProof/>
        </w:rPr>
      </w:pPr>
      <w:r w:rsidRPr="00E62032">
        <w:rPr>
          <w:color w:val="222222"/>
          <w:shd w:val="clear" w:color="auto" w:fill="FFFFFF"/>
        </w:rPr>
        <w:t>Sangiorgi, D., Sangiorgi, D., Siboni, B., &amp; Siboni, B. (2017). The disclosure of intellectual capital in Italian universities: What has been done and what should be done. </w:t>
      </w:r>
      <w:r w:rsidRPr="00E62032">
        <w:rPr>
          <w:i/>
          <w:iCs/>
          <w:color w:val="222222"/>
          <w:shd w:val="clear" w:color="auto" w:fill="FFFFFF"/>
        </w:rPr>
        <w:t>Journal of Intellectual Capital</w:t>
      </w:r>
      <w:r w:rsidRPr="00E62032">
        <w:rPr>
          <w:color w:val="222222"/>
          <w:shd w:val="clear" w:color="auto" w:fill="FFFFFF"/>
        </w:rPr>
        <w:t>, </w:t>
      </w:r>
      <w:r w:rsidRPr="00E62032">
        <w:rPr>
          <w:i/>
          <w:iCs/>
          <w:color w:val="222222"/>
          <w:shd w:val="clear" w:color="auto" w:fill="FFFFFF"/>
        </w:rPr>
        <w:t>18</w:t>
      </w:r>
      <w:r w:rsidRPr="00E62032">
        <w:rPr>
          <w:color w:val="222222"/>
          <w:shd w:val="clear" w:color="auto" w:fill="FFFFFF"/>
        </w:rPr>
        <w:t>(2), 354-372.</w:t>
      </w:r>
    </w:p>
    <w:p w14:paraId="03031C3A" w14:textId="77777777" w:rsidR="00A808EB" w:rsidRDefault="00A808EB" w:rsidP="00A808EB">
      <w:pPr>
        <w:ind w:left="680" w:hanging="680"/>
        <w:jc w:val="both"/>
      </w:pPr>
      <w:r w:rsidRPr="00E62032">
        <w:rPr>
          <w:color w:val="222222"/>
          <w:shd w:val="clear" w:color="auto" w:fill="FFFFFF"/>
        </w:rPr>
        <w:t>Scafarto, V., Ricci, F., &amp; Scafarto, F. (2016). Intellectual capital and firm performance in the global agribusiness industry: The moderating role of human capital. </w:t>
      </w:r>
      <w:r w:rsidRPr="00E62032">
        <w:rPr>
          <w:i/>
          <w:iCs/>
          <w:color w:val="222222"/>
          <w:shd w:val="clear" w:color="auto" w:fill="FFFFFF"/>
        </w:rPr>
        <w:t>Journal of Intellectual Capital</w:t>
      </w:r>
      <w:r w:rsidRPr="00E62032">
        <w:rPr>
          <w:color w:val="222222"/>
          <w:shd w:val="clear" w:color="auto" w:fill="FFFFFF"/>
        </w:rPr>
        <w:t>, </w:t>
      </w:r>
      <w:r w:rsidRPr="00E62032">
        <w:rPr>
          <w:i/>
          <w:iCs/>
          <w:color w:val="222222"/>
          <w:shd w:val="clear" w:color="auto" w:fill="FFFFFF"/>
        </w:rPr>
        <w:t>17</w:t>
      </w:r>
      <w:r w:rsidRPr="00E62032">
        <w:rPr>
          <w:color w:val="222222"/>
          <w:shd w:val="clear" w:color="auto" w:fill="FFFFFF"/>
        </w:rPr>
        <w:t>(3), 530-552.</w:t>
      </w:r>
    </w:p>
    <w:p w14:paraId="295E7ECA" w14:textId="77777777" w:rsidR="00A808EB" w:rsidRPr="007D2CCC" w:rsidRDefault="00A808EB" w:rsidP="00A808EB">
      <w:pPr>
        <w:ind w:left="680" w:hanging="680"/>
        <w:jc w:val="both"/>
      </w:pPr>
      <w:r w:rsidRPr="007D2CCC">
        <w:t xml:space="preserve">Stewart, T. A. (1997). </w:t>
      </w:r>
      <w:r w:rsidRPr="007D2CCC">
        <w:rPr>
          <w:i/>
          <w:iCs/>
        </w:rPr>
        <w:t>Intellectual capital: the new wealth of organizations.</w:t>
      </w:r>
      <w:r w:rsidRPr="007D2CCC">
        <w:t xml:space="preserve"> New York, NY, USA: Doubleday </w:t>
      </w:r>
      <w:r w:rsidRPr="0006087A">
        <w:rPr>
          <w:i/>
          <w:iCs/>
        </w:rPr>
        <w:t>30</w:t>
      </w:r>
      <w:r w:rsidRPr="007D2CCC">
        <w:t>(6): 953.</w:t>
      </w:r>
    </w:p>
    <w:p w14:paraId="2932DB2F" w14:textId="77777777" w:rsidR="00A808EB" w:rsidRPr="001225D8" w:rsidRDefault="00A808EB" w:rsidP="00A808EB">
      <w:pPr>
        <w:ind w:left="680" w:hanging="680"/>
        <w:jc w:val="both"/>
        <w:rPr>
          <w:color w:val="FF0000"/>
        </w:rPr>
      </w:pPr>
      <w:r w:rsidRPr="00123D3E">
        <w:t>Soetanto, T., &amp; Liem, P. F. (2019). Intellectual Capital in Indonesia: Dynamic Panel Approach.</w:t>
      </w:r>
      <w:r w:rsidRPr="00123D3E">
        <w:rPr>
          <w:rFonts w:ascii="Arial" w:hAnsi="Arial" w:cs="Arial"/>
          <w:sz w:val="20"/>
          <w:szCs w:val="20"/>
          <w:shd w:val="clear" w:color="auto" w:fill="FFFFFF"/>
        </w:rPr>
        <w:t> </w:t>
      </w:r>
      <w:r w:rsidRPr="00123D3E">
        <w:rPr>
          <w:i/>
          <w:iCs/>
          <w:shd w:val="clear" w:color="auto" w:fill="FFFFFF"/>
        </w:rPr>
        <w:t>Journal of Asia Business Studies,</w:t>
      </w:r>
      <w:r w:rsidRPr="00123D3E">
        <w:rPr>
          <w:rFonts w:ascii="Arial" w:hAnsi="Arial" w:cs="Arial" w:hint="cs"/>
          <w:sz w:val="20"/>
          <w:szCs w:val="20"/>
          <w:shd w:val="clear" w:color="auto" w:fill="FFFFFF"/>
          <w:rtl/>
        </w:rPr>
        <w:t xml:space="preserve"> </w:t>
      </w:r>
      <w:r w:rsidRPr="00E67E5E">
        <w:rPr>
          <w:i/>
          <w:iCs/>
        </w:rPr>
        <w:t>vol. 13</w:t>
      </w:r>
      <w:r w:rsidRPr="00123D3E">
        <w:t>, no. 2, pp. 240–262.</w:t>
      </w:r>
    </w:p>
    <w:p w14:paraId="1F0F75B7" w14:textId="77777777" w:rsidR="00A808EB" w:rsidRPr="00123D3E" w:rsidRDefault="00A808EB" w:rsidP="00A808EB">
      <w:pPr>
        <w:ind w:left="680" w:hanging="680"/>
        <w:jc w:val="both"/>
        <w:outlineLvl w:val="1"/>
        <w:rPr>
          <w:i/>
          <w:iCs/>
          <w:shd w:val="clear" w:color="auto" w:fill="FFFFFF"/>
        </w:rPr>
      </w:pPr>
      <w:r w:rsidRPr="00123D3E">
        <w:rPr>
          <w:shd w:val="clear" w:color="auto" w:fill="FFFFFF"/>
        </w:rPr>
        <w:t>Sofian, S., Tayles, M., &amp; Pike, R. (2006). The implications of intellectual capital on performance measurement and corporate performance. </w:t>
      </w:r>
      <w:r w:rsidRPr="00123D3E">
        <w:rPr>
          <w:i/>
          <w:iCs/>
        </w:rPr>
        <w:t>Jurnal kemanusiaan,</w:t>
      </w:r>
      <w:r w:rsidRPr="00123D3E">
        <w:rPr>
          <w:i/>
          <w:iCs/>
          <w:shd w:val="clear" w:color="auto" w:fill="FFFFFF"/>
        </w:rPr>
        <w:t xml:space="preserve"> </w:t>
      </w:r>
      <w:r w:rsidRPr="00123D3E">
        <w:rPr>
          <w:i/>
          <w:iCs/>
        </w:rPr>
        <w:t>(8)</w:t>
      </w:r>
      <w:r>
        <w:t>, 13-24.</w:t>
      </w:r>
    </w:p>
    <w:p w14:paraId="2F23A694" w14:textId="77777777" w:rsidR="00A808EB" w:rsidRPr="00B92910" w:rsidRDefault="00A808EB" w:rsidP="00A808EB">
      <w:pPr>
        <w:ind w:left="680" w:hanging="680"/>
        <w:jc w:val="both"/>
        <w:rPr>
          <w:i/>
          <w:iCs/>
          <w:shd w:val="clear" w:color="auto" w:fill="FFFFFF"/>
        </w:rPr>
      </w:pPr>
      <w:r w:rsidRPr="00B92910">
        <w:rPr>
          <w:shd w:val="clear" w:color="auto" w:fill="FFFFFF"/>
        </w:rPr>
        <w:t>Ting, I. W. K., &amp; Lean, H. H. (2009). Intellectual capital performance of financial institutions in Malaysia.</w:t>
      </w:r>
      <w:r w:rsidRPr="00B92910">
        <w:rPr>
          <w:rFonts w:ascii="Arial" w:hAnsi="Arial" w:cs="Arial"/>
          <w:sz w:val="20"/>
          <w:szCs w:val="20"/>
          <w:shd w:val="clear" w:color="auto" w:fill="FFFFFF"/>
        </w:rPr>
        <w:t> </w:t>
      </w:r>
      <w:r w:rsidRPr="00B92910">
        <w:rPr>
          <w:i/>
          <w:iCs/>
          <w:shd w:val="clear" w:color="auto" w:fill="FFFFFF"/>
        </w:rPr>
        <w:t>Journal of Intellectual capital</w:t>
      </w:r>
      <w:r w:rsidRPr="00B92910">
        <w:t xml:space="preserve"> </w:t>
      </w:r>
      <w:r w:rsidRPr="00B92910">
        <w:rPr>
          <w:i/>
          <w:iCs/>
          <w:shd w:val="clear" w:color="auto" w:fill="FFFFFF"/>
        </w:rPr>
        <w:t>10</w:t>
      </w:r>
      <w:r w:rsidRPr="00B92910">
        <w:rPr>
          <w:shd w:val="clear" w:color="auto" w:fill="FFFFFF"/>
        </w:rPr>
        <w:t>(4): 588-599.</w:t>
      </w:r>
      <w:r w:rsidRPr="00B92910">
        <w:rPr>
          <w:shd w:val="clear" w:color="auto" w:fill="FFFFFF"/>
          <w:rtl/>
        </w:rPr>
        <w:t>‏</w:t>
      </w:r>
    </w:p>
    <w:p w14:paraId="05BA3EFB" w14:textId="77777777" w:rsidR="00A808EB" w:rsidRPr="00216249" w:rsidRDefault="00A808EB" w:rsidP="00A808EB">
      <w:pPr>
        <w:ind w:left="680" w:hanging="680"/>
        <w:jc w:val="both"/>
        <w:rPr>
          <w:shd w:val="clear" w:color="auto" w:fill="FFFFFF"/>
        </w:rPr>
      </w:pPr>
      <w:r w:rsidRPr="00794145">
        <w:rPr>
          <w:shd w:val="clear" w:color="auto" w:fill="FFFFFF"/>
        </w:rPr>
        <w:t>Ting, I. W. K., Ren, C., Chen, F. C., &amp; Kweh, Q. L. (2020). Interpreting the dynamic performance effect of intellectual capital through a value-added-based perspective.</w:t>
      </w:r>
      <w:r w:rsidRPr="00794145">
        <w:rPr>
          <w:rFonts w:ascii="Arial" w:hAnsi="Arial" w:cs="Arial"/>
          <w:sz w:val="20"/>
          <w:szCs w:val="20"/>
          <w:shd w:val="clear" w:color="auto" w:fill="FFFFFF"/>
        </w:rPr>
        <w:t> </w:t>
      </w:r>
      <w:r w:rsidRPr="00794145">
        <w:rPr>
          <w:i/>
          <w:iCs/>
          <w:shd w:val="clear" w:color="auto" w:fill="FFFFFF"/>
        </w:rPr>
        <w:t xml:space="preserve">Journal of Intellectual Capital </w:t>
      </w:r>
      <w:r w:rsidRPr="00794145">
        <w:rPr>
          <w:shd w:val="clear" w:color="auto" w:fill="FFFFFF"/>
        </w:rPr>
        <w:t xml:space="preserve">(ahead of </w:t>
      </w:r>
      <w:r w:rsidRPr="00794145">
        <w:rPr>
          <w:shd w:val="clear" w:color="auto" w:fill="FFFFFF"/>
        </w:rPr>
        <w:lastRenderedPageBreak/>
        <w:t>print).  </w:t>
      </w:r>
      <w:hyperlink r:id="rId12" w:tooltip="DOI: https://doi.org/10.1108/JIC-05-2019-0098" w:history="1">
        <w:r w:rsidRPr="00794145">
          <w:t>https://doi.org/10.1108/JIC-05-2019-0098</w:t>
        </w:r>
      </w:hyperlink>
      <w:r w:rsidRPr="00794145">
        <w:rPr>
          <w:shd w:val="clear" w:color="auto" w:fill="FFFFFF"/>
        </w:rPr>
        <w:t xml:space="preserve">  </w:t>
      </w:r>
      <w:hyperlink r:id="rId13" w:tooltip="DOI: https://doi.org/10.1108/JIC-05-2019-0098" w:history="1">
        <w:r w:rsidRPr="00794145">
          <w:t>https://doi.org/10.1108/JIC-05-2019-0098</w:t>
        </w:r>
      </w:hyperlink>
      <w:r w:rsidRPr="00794145">
        <w:rPr>
          <w:shd w:val="clear" w:color="auto" w:fill="FFFFFF"/>
        </w:rPr>
        <w:t xml:space="preserve"> (Downloaded: </w:t>
      </w:r>
      <w:r w:rsidRPr="00794145">
        <w:rPr>
          <w:rStyle w:val="Hyperlink"/>
        </w:rPr>
        <w:t>2 May 2020</w:t>
      </w:r>
      <w:r w:rsidRPr="00794145">
        <w:rPr>
          <w:shd w:val="clear" w:color="auto" w:fill="FFFFFF"/>
        </w:rPr>
        <w:t>)</w:t>
      </w:r>
    </w:p>
    <w:p w14:paraId="550ED409" w14:textId="77777777" w:rsidR="00A808EB" w:rsidRPr="006C1FEF" w:rsidRDefault="00A808EB" w:rsidP="00A808EB">
      <w:pPr>
        <w:ind w:left="680" w:hanging="680"/>
        <w:jc w:val="both"/>
        <w:rPr>
          <w:color w:val="222222"/>
          <w:shd w:val="clear" w:color="auto" w:fill="FFFFFF"/>
        </w:rPr>
      </w:pPr>
      <w:r w:rsidRPr="006F6D69">
        <w:rPr>
          <w:color w:val="222222"/>
          <w:shd w:val="clear" w:color="auto" w:fill="FFFFFF"/>
        </w:rPr>
        <w:t>Vishnu, S., &amp; Kumar Gupta, V. (2014). Intellectual capital and performance of pharmaceutical firms in India.</w:t>
      </w:r>
      <w:r>
        <w:rPr>
          <w:rFonts w:ascii="Arial" w:hAnsi="Arial" w:cs="Arial"/>
          <w:color w:val="222222"/>
          <w:sz w:val="20"/>
          <w:szCs w:val="20"/>
          <w:shd w:val="clear" w:color="auto" w:fill="FFFFFF"/>
        </w:rPr>
        <w:t> </w:t>
      </w:r>
      <w:r w:rsidRPr="006F6D69">
        <w:rPr>
          <w:i/>
          <w:iCs/>
          <w:color w:val="222222"/>
          <w:shd w:val="clear" w:color="auto" w:fill="FFFFFF"/>
        </w:rPr>
        <w:t>Journal of Intellectual Capital, 15</w:t>
      </w:r>
      <w:r>
        <w:rPr>
          <w:rFonts w:ascii="Arial" w:hAnsi="Arial" w:cs="Arial"/>
          <w:color w:val="222222"/>
          <w:sz w:val="20"/>
          <w:szCs w:val="20"/>
          <w:shd w:val="clear" w:color="auto" w:fill="FFFFFF"/>
        </w:rPr>
        <w:t>(</w:t>
      </w:r>
      <w:r w:rsidRPr="006C1FEF">
        <w:rPr>
          <w:color w:val="222222"/>
          <w:shd w:val="clear" w:color="auto" w:fill="FFFFFF"/>
        </w:rPr>
        <w:t>1), 83-99.</w:t>
      </w:r>
      <w:r w:rsidRPr="006C1FEF">
        <w:rPr>
          <w:color w:val="222222"/>
          <w:shd w:val="clear" w:color="auto" w:fill="FFFFFF"/>
          <w:rtl/>
        </w:rPr>
        <w:t>‏</w:t>
      </w:r>
    </w:p>
    <w:p w14:paraId="34E94798" w14:textId="77777777" w:rsidR="00A808EB" w:rsidRPr="006C1FEF" w:rsidRDefault="00A808EB" w:rsidP="00A808EB">
      <w:pPr>
        <w:ind w:left="680" w:hanging="680"/>
        <w:jc w:val="both"/>
        <w:rPr>
          <w:color w:val="222222"/>
          <w:shd w:val="clear" w:color="auto" w:fill="FFFFFF"/>
        </w:rPr>
      </w:pPr>
      <w:r w:rsidRPr="00E62032">
        <w:rPr>
          <w:color w:val="222222"/>
          <w:shd w:val="clear" w:color="auto" w:fill="FFFFFF"/>
        </w:rPr>
        <w:t>Yalama, A. (2013). The relationship between intellectual capital and banking performance in Turkey: evidence from panel data.</w:t>
      </w:r>
      <w:r w:rsidRPr="00E62032">
        <w:rPr>
          <w:rStyle w:val="apple-converted-space"/>
          <w:color w:val="222222"/>
          <w:shd w:val="clear" w:color="auto" w:fill="FFFFFF"/>
        </w:rPr>
        <w:t> </w:t>
      </w:r>
      <w:r w:rsidRPr="00E62032">
        <w:rPr>
          <w:i/>
          <w:iCs/>
          <w:color w:val="222222"/>
          <w:shd w:val="clear" w:color="auto" w:fill="FFFFFF"/>
        </w:rPr>
        <w:t>International Journal of Learning and Intellectual Capital</w:t>
      </w:r>
      <w:r w:rsidRPr="006C1FEF">
        <w:rPr>
          <w:i/>
          <w:iCs/>
          <w:color w:val="222222"/>
          <w:shd w:val="clear" w:color="auto" w:fill="FFFFFF"/>
        </w:rPr>
        <w:t>,</w:t>
      </w:r>
      <w:r w:rsidRPr="006C1FEF">
        <w:rPr>
          <w:i/>
          <w:iCs/>
        </w:rPr>
        <w:t> </w:t>
      </w:r>
      <w:r w:rsidRPr="00E62032">
        <w:rPr>
          <w:i/>
          <w:iCs/>
          <w:color w:val="222222"/>
          <w:shd w:val="clear" w:color="auto" w:fill="FFFFFF"/>
        </w:rPr>
        <w:t>10</w:t>
      </w:r>
      <w:r w:rsidRPr="00E62032">
        <w:rPr>
          <w:color w:val="222222"/>
          <w:shd w:val="clear" w:color="auto" w:fill="FFFFFF"/>
        </w:rPr>
        <w:t>(1), 71-87.</w:t>
      </w:r>
      <w:r w:rsidRPr="00E62032">
        <w:rPr>
          <w:color w:val="222222"/>
          <w:shd w:val="clear" w:color="auto" w:fill="FFFFFF"/>
          <w:rtl/>
        </w:rPr>
        <w:t>‏</w:t>
      </w:r>
    </w:p>
    <w:p w14:paraId="746C6264" w14:textId="77777777" w:rsidR="00A808EB" w:rsidRDefault="00A808EB" w:rsidP="00A808EB">
      <w:pPr>
        <w:ind w:left="680" w:hanging="680"/>
        <w:jc w:val="both"/>
        <w:rPr>
          <w:color w:val="222222"/>
          <w:shd w:val="clear" w:color="auto" w:fill="FFFFFF"/>
        </w:rPr>
      </w:pPr>
      <w:r w:rsidRPr="00794145">
        <w:rPr>
          <w:color w:val="222222"/>
          <w:shd w:val="clear" w:color="auto" w:fill="FFFFFF"/>
        </w:rPr>
        <w:t>Zhicheng, L., Zhuoer, C., Shing, L. T. T., &amp; Wah, C. S. K. (2016). The Impact of Intellectual Capital on Companies’ Performances: A Study Based on Make Award Winners and Non-Make Award Winner Companies. </w:t>
      </w:r>
      <w:r w:rsidRPr="00794145">
        <w:rPr>
          <w:i/>
          <w:iCs/>
          <w:color w:val="222222"/>
          <w:shd w:val="clear" w:color="auto" w:fill="FFFFFF"/>
        </w:rPr>
        <w:t>Procedia Computer Science</w:t>
      </w:r>
      <w:r w:rsidRPr="00794145">
        <w:rPr>
          <w:color w:val="222222"/>
          <w:shd w:val="clear" w:color="auto" w:fill="FFFFFF"/>
        </w:rPr>
        <w:t>, 99, 181-194.</w:t>
      </w:r>
      <w:r w:rsidRPr="00794145">
        <w:rPr>
          <w:color w:val="222222"/>
          <w:shd w:val="clear" w:color="auto" w:fill="FFFFFF"/>
          <w:rtl/>
        </w:rPr>
        <w:t>‏</w:t>
      </w:r>
    </w:p>
    <w:p w14:paraId="41EAE967" w14:textId="77777777" w:rsidR="008B1180" w:rsidRPr="00A808EB" w:rsidRDefault="008B1180" w:rsidP="00A808EB"/>
    <w:sectPr w:rsidR="008B1180" w:rsidRPr="00A808EB" w:rsidSect="00A808EB">
      <w:headerReference w:type="default" r:id="rId14"/>
      <w:footerReference w:type="default" r:id="rId15"/>
      <w:pgSz w:w="11907" w:h="16840" w:code="9"/>
      <w:pgMar w:top="1440" w:right="1440" w:bottom="1440" w:left="1440" w:header="851" w:footer="1418" w:gutter="0"/>
      <w:pgNumType w:start="1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9026D" w14:textId="77777777" w:rsidR="0059318B" w:rsidRDefault="0059318B" w:rsidP="00DC2C5A">
      <w:r>
        <w:separator/>
      </w:r>
    </w:p>
  </w:endnote>
  <w:endnote w:type="continuationSeparator" w:id="0">
    <w:p w14:paraId="181C2697" w14:textId="77777777" w:rsidR="0059318B" w:rsidRDefault="0059318B" w:rsidP="00DC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B0500000000000000"/>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11CC8" w14:textId="1783CA2C" w:rsidR="00126685" w:rsidRDefault="00126685" w:rsidP="00126685">
    <w:pPr>
      <w:pStyle w:val="Footer"/>
      <w:pBdr>
        <w:top w:val="single" w:sz="4" w:space="1" w:color="auto"/>
      </w:pBdr>
    </w:pPr>
    <w:r w:rsidRPr="00E718E9">
      <w:rPr>
        <w:rFonts w:eastAsia="Calibri"/>
        <w:i/>
        <w:sz w:val="20"/>
        <w:szCs w:val="20"/>
      </w:rPr>
      <w:t>© 2020 UNIMAS All Rights Reserved</w:t>
    </w:r>
    <w:r w:rsidRPr="00E718E9">
      <w:rPr>
        <w:rFonts w:eastAsia="Calibri"/>
        <w:sz w:val="20"/>
        <w:szCs w:val="20"/>
      </w:rPr>
      <w:t xml:space="preserve"> </w:t>
    </w:r>
    <w:r>
      <w:rPr>
        <w:rFonts w:eastAsia="Calibri"/>
        <w:sz w:val="20"/>
        <w:szCs w:val="20"/>
      </w:rPr>
      <w:tab/>
    </w:r>
    <w:r>
      <w:rPr>
        <w:rFonts w:eastAsia="Calibri"/>
        <w:sz w:val="20"/>
        <w:szCs w:val="20"/>
      </w:rPr>
      <w:tab/>
    </w:r>
    <w:r w:rsidRPr="00126685">
      <w:rPr>
        <w:sz w:val="20"/>
        <w:szCs w:val="20"/>
      </w:rPr>
      <w:t xml:space="preserve">Page | </w:t>
    </w:r>
    <w:r w:rsidRPr="00126685">
      <w:rPr>
        <w:sz w:val="20"/>
        <w:szCs w:val="20"/>
      </w:rPr>
      <w:fldChar w:fldCharType="begin"/>
    </w:r>
    <w:r w:rsidRPr="00126685">
      <w:rPr>
        <w:sz w:val="20"/>
        <w:szCs w:val="20"/>
      </w:rPr>
      <w:instrText xml:space="preserve"> PAGE   \* MERGEFORMAT </w:instrText>
    </w:r>
    <w:r w:rsidRPr="00126685">
      <w:rPr>
        <w:sz w:val="20"/>
        <w:szCs w:val="20"/>
      </w:rPr>
      <w:fldChar w:fldCharType="separate"/>
    </w:r>
    <w:r w:rsidR="008A392A">
      <w:rPr>
        <w:noProof/>
        <w:sz w:val="20"/>
        <w:szCs w:val="20"/>
      </w:rPr>
      <w:t>133</w:t>
    </w:r>
    <w:r w:rsidRPr="00126685">
      <w:rPr>
        <w:noProof/>
        <w:sz w:val="20"/>
        <w:szCs w:val="20"/>
      </w:rPr>
      <w:fldChar w:fldCharType="end"/>
    </w:r>
    <w:r>
      <w:t xml:space="preserve"> </w:t>
    </w:r>
  </w:p>
  <w:p w14:paraId="2D2F1F53" w14:textId="77777777" w:rsidR="00DC2C5A" w:rsidRDefault="00DC2C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2AAB" w14:textId="77777777" w:rsidR="0059318B" w:rsidRDefault="0059318B" w:rsidP="00DC2C5A">
      <w:r>
        <w:separator/>
      </w:r>
    </w:p>
  </w:footnote>
  <w:footnote w:type="continuationSeparator" w:id="0">
    <w:p w14:paraId="793FD70D" w14:textId="77777777" w:rsidR="0059318B" w:rsidRDefault="0059318B" w:rsidP="00DC2C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AF2D" w14:textId="7F079F4B" w:rsidR="00126685" w:rsidRPr="00707076" w:rsidRDefault="00126685" w:rsidP="00126685">
    <w:pPr>
      <w:pBdr>
        <w:bottom w:val="single" w:sz="4" w:space="1" w:color="auto"/>
      </w:pBdr>
      <w:tabs>
        <w:tab w:val="center" w:pos="4680"/>
        <w:tab w:val="right" w:pos="9360"/>
      </w:tabs>
      <w:jc w:val="right"/>
      <w:rPr>
        <w:rFonts w:eastAsia="Calibri"/>
        <w:i/>
        <w:sz w:val="20"/>
        <w:szCs w:val="20"/>
      </w:rPr>
    </w:pPr>
    <w:r w:rsidRPr="00707076">
      <w:rPr>
        <w:rFonts w:eastAsia="Calibri"/>
        <w:i/>
        <w:sz w:val="20"/>
        <w:szCs w:val="20"/>
      </w:rPr>
      <w:t>UNIMAS Review of Accounting and Finance</w:t>
    </w:r>
  </w:p>
  <w:p w14:paraId="35270CFE" w14:textId="6AC5E9B9" w:rsidR="00126685" w:rsidRPr="00707076" w:rsidRDefault="00126685" w:rsidP="00126685">
    <w:pPr>
      <w:pBdr>
        <w:bottom w:val="single" w:sz="4" w:space="1" w:color="auto"/>
      </w:pBdr>
      <w:tabs>
        <w:tab w:val="center" w:pos="4680"/>
        <w:tab w:val="right" w:pos="9360"/>
      </w:tabs>
      <w:jc w:val="right"/>
      <w:rPr>
        <w:rFonts w:eastAsia="Calibri"/>
        <w:i/>
        <w:sz w:val="20"/>
        <w:szCs w:val="20"/>
      </w:rPr>
    </w:pPr>
    <w:r w:rsidRPr="00707076">
      <w:rPr>
        <w:rFonts w:eastAsia="Calibri"/>
        <w:i/>
        <w:sz w:val="20"/>
        <w:szCs w:val="20"/>
      </w:rPr>
      <w:t>Vol.</w:t>
    </w:r>
    <w:r w:rsidR="002D4EBC">
      <w:rPr>
        <w:rFonts w:eastAsia="Calibri"/>
        <w:i/>
        <w:sz w:val="20"/>
        <w:szCs w:val="20"/>
      </w:rPr>
      <w:t>4</w:t>
    </w:r>
    <w:r w:rsidRPr="00707076">
      <w:rPr>
        <w:rFonts w:eastAsia="Calibri"/>
        <w:i/>
        <w:sz w:val="20"/>
        <w:szCs w:val="20"/>
      </w:rPr>
      <w:t xml:space="preserve"> No. 1 20</w:t>
    </w:r>
    <w:r>
      <w:rPr>
        <w:rFonts w:eastAsia="Calibri"/>
        <w:i/>
        <w:sz w:val="20"/>
        <w:szCs w:val="20"/>
      </w:rPr>
      <w:t>20</w:t>
    </w:r>
  </w:p>
  <w:p w14:paraId="354B3EE2" w14:textId="77777777" w:rsidR="00126685" w:rsidRDefault="001266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89A"/>
    <w:multiLevelType w:val="hybridMultilevel"/>
    <w:tmpl w:val="51F6C288"/>
    <w:lvl w:ilvl="0" w:tplc="EFF2BEDA">
      <w:start w:val="1"/>
      <w:numFmt w:val="decimal"/>
      <w:pStyle w:val="CopyrightPageNumbering"/>
      <w:lvlText w:val="%1."/>
      <w:lvlJc w:val="left"/>
      <w:pPr>
        <w:ind w:left="1134" w:hanging="454"/>
      </w:pPr>
      <w:rPr>
        <w:rFonts w:hint="default"/>
        <w:kern w:val="36"/>
      </w:rPr>
    </w:lvl>
    <w:lvl w:ilvl="1" w:tplc="04090019">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 w15:restartNumberingAfterBreak="0">
    <w:nsid w:val="179E2FD3"/>
    <w:multiLevelType w:val="multilevel"/>
    <w:tmpl w:val="AA9CD4A8"/>
    <w:lvl w:ilvl="0">
      <w:start w:val="1"/>
      <w:numFmt w:val="decimal"/>
      <w:pStyle w:val="Style2"/>
      <w:lvlText w:val="%1."/>
      <w:lvlJc w:val="left"/>
      <w:pPr>
        <w:ind w:left="720" w:hanging="360"/>
      </w:pPr>
      <w:rPr>
        <w:rFonts w:hint="eastAsia"/>
      </w:rPr>
    </w:lvl>
    <w:lvl w:ilvl="1">
      <w:start w:val="1"/>
      <w:numFmt w:val="decimal"/>
      <w:pStyle w:val="Sub1"/>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C919E7"/>
    <w:multiLevelType w:val="multilevel"/>
    <w:tmpl w:val="5E8C79E2"/>
    <w:styleLink w:val="Style1"/>
    <w:lvl w:ilvl="0">
      <w:start w:val="1"/>
      <w:numFmt w:val="decimal"/>
      <w:pStyle w:val="TOCHeading"/>
      <w:suff w:val="nothing"/>
      <w:lvlText w:val="%1"/>
      <w:lvlJc w:val="center"/>
      <w:pPr>
        <w:ind w:left="0" w:firstLine="0"/>
      </w:pPr>
      <w:rPr>
        <w:rFonts w:ascii="Times New Roman" w:hAnsi="Times New Roman" w:hint="default"/>
        <w:b/>
        <w:vanish/>
        <w:color w:val="auto"/>
        <w:sz w:val="28"/>
        <w:u w:val="none"/>
      </w:rPr>
    </w:lvl>
    <w:lvl w:ilvl="1">
      <w:start w:val="1"/>
      <w:numFmt w:val="decimal"/>
      <w:lvlText w:val="%1.%2"/>
      <w:lvlJc w:val="left"/>
      <w:pPr>
        <w:ind w:left="0" w:firstLine="0"/>
      </w:pPr>
      <w:rPr>
        <w:rFonts w:ascii="Times New Roman" w:hAnsi="Times New Roman" w:hint="default"/>
        <w:b/>
        <w:color w:val="auto"/>
        <w:sz w:val="24"/>
        <w:u w:val="none"/>
      </w:rPr>
    </w:lvl>
    <w:lvl w:ilvl="2">
      <w:start w:val="1"/>
      <w:numFmt w:val="decimal"/>
      <w:lvlText w:val="%1.%2.%3"/>
      <w:lvlJc w:val="left"/>
      <w:pPr>
        <w:ind w:left="0" w:firstLine="0"/>
      </w:pPr>
      <w:rPr>
        <w:rFonts w:hint="default"/>
        <w:b/>
        <w:i w:val="0"/>
        <w:color w:val="auto"/>
        <w:sz w:val="24"/>
        <w:u w:val="none"/>
      </w:rPr>
    </w:lvl>
    <w:lvl w:ilvl="3">
      <w:start w:val="1"/>
      <w:numFmt w:val="decimal"/>
      <w:suff w:val="space"/>
      <w:lvlText w:val="%1.%2.%3.%4"/>
      <w:lvlJc w:val="left"/>
      <w:pPr>
        <w:ind w:left="0" w:firstLine="0"/>
      </w:pPr>
      <w:rPr>
        <w:rFonts w:ascii="Times New Roman" w:hAnsi="Times New Roman" w:hint="default"/>
        <w:b/>
        <w:i/>
        <w:color w:val="auto"/>
        <w:sz w:val="24"/>
        <w:u w:val="none"/>
      </w:rPr>
    </w:lvl>
    <w:lvl w:ilvl="4">
      <w:start w:val="1"/>
      <w:numFmt w:val="decimal"/>
      <w:suff w:val="space"/>
      <w:lvlText w:val="%1.%2.%3.%4.%5"/>
      <w:lvlJc w:val="left"/>
      <w:pPr>
        <w:ind w:left="0" w:firstLine="0"/>
      </w:pPr>
      <w:rPr>
        <w:rFonts w:ascii="Times New Roman" w:hAnsi="Times New Roman" w:hint="default"/>
        <w:i/>
        <w:color w:val="auto"/>
        <w:sz w:val="24"/>
        <w:u w:val="singl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78EC3D27"/>
    <w:multiLevelType w:val="hybridMultilevel"/>
    <w:tmpl w:val="641CEE2E"/>
    <w:lvl w:ilvl="0" w:tplc="FD38E6A6">
      <w:start w:val="1"/>
      <w:numFmt w:val="decimal"/>
      <w:pStyle w:val="FirstOrderHeadings"/>
      <w:lvlText w:val="%1."/>
      <w:lvlJc w:val="left"/>
      <w:pPr>
        <w:tabs>
          <w:tab w:val="num" w:pos="397"/>
        </w:tabs>
        <w:ind w:left="397" w:hanging="397"/>
      </w:pPr>
      <w:rPr>
        <w:rFonts w:hint="default"/>
        <w:b/>
        <w:i w:val="0"/>
      </w:rPr>
    </w:lvl>
    <w:lvl w:ilvl="1" w:tplc="0602F25C">
      <w:start w:val="1"/>
      <w:numFmt w:val="decimal"/>
      <w:lvlText w:val="%2."/>
      <w:lvlJc w:val="left"/>
      <w:pPr>
        <w:tabs>
          <w:tab w:val="num" w:pos="1440"/>
        </w:tabs>
        <w:ind w:left="1440" w:hanging="360"/>
      </w:pPr>
    </w:lvl>
    <w:lvl w:ilvl="2" w:tplc="4BAC9BF4">
      <w:start w:val="1"/>
      <w:numFmt w:val="decimal"/>
      <w:lvlText w:val="%3."/>
      <w:lvlJc w:val="left"/>
      <w:pPr>
        <w:tabs>
          <w:tab w:val="num" w:pos="2160"/>
        </w:tabs>
        <w:ind w:left="2160" w:hanging="360"/>
      </w:pPr>
    </w:lvl>
    <w:lvl w:ilvl="3" w:tplc="61009ACE">
      <w:start w:val="1"/>
      <w:numFmt w:val="decimal"/>
      <w:lvlText w:val="%4."/>
      <w:lvlJc w:val="left"/>
      <w:pPr>
        <w:tabs>
          <w:tab w:val="num" w:pos="2880"/>
        </w:tabs>
        <w:ind w:left="2880" w:hanging="360"/>
      </w:pPr>
    </w:lvl>
    <w:lvl w:ilvl="4" w:tplc="8048C360">
      <w:start w:val="1"/>
      <w:numFmt w:val="decimal"/>
      <w:lvlText w:val="%5."/>
      <w:lvlJc w:val="left"/>
      <w:pPr>
        <w:tabs>
          <w:tab w:val="num" w:pos="3600"/>
        </w:tabs>
        <w:ind w:left="3600" w:hanging="360"/>
      </w:pPr>
    </w:lvl>
    <w:lvl w:ilvl="5" w:tplc="C1F67CA0">
      <w:start w:val="1"/>
      <w:numFmt w:val="decimal"/>
      <w:lvlText w:val="%6."/>
      <w:lvlJc w:val="left"/>
      <w:pPr>
        <w:tabs>
          <w:tab w:val="num" w:pos="4320"/>
        </w:tabs>
        <w:ind w:left="4320" w:hanging="360"/>
      </w:pPr>
    </w:lvl>
    <w:lvl w:ilvl="6" w:tplc="96BA0C78">
      <w:start w:val="1"/>
      <w:numFmt w:val="decimal"/>
      <w:lvlText w:val="%7."/>
      <w:lvlJc w:val="left"/>
      <w:pPr>
        <w:tabs>
          <w:tab w:val="num" w:pos="5040"/>
        </w:tabs>
        <w:ind w:left="5040" w:hanging="360"/>
      </w:pPr>
    </w:lvl>
    <w:lvl w:ilvl="7" w:tplc="BB02BED6">
      <w:start w:val="1"/>
      <w:numFmt w:val="decimal"/>
      <w:lvlText w:val="%8."/>
      <w:lvlJc w:val="left"/>
      <w:pPr>
        <w:tabs>
          <w:tab w:val="num" w:pos="5760"/>
        </w:tabs>
        <w:ind w:left="5760" w:hanging="360"/>
      </w:pPr>
    </w:lvl>
    <w:lvl w:ilvl="8" w:tplc="BF9433B0">
      <w:start w:val="1"/>
      <w:numFmt w:val="decimal"/>
      <w:lvlText w:val="%9."/>
      <w:lvlJc w:val="left"/>
      <w:pPr>
        <w:tabs>
          <w:tab w:val="num" w:pos="6480"/>
        </w:tabs>
        <w:ind w:left="6480" w:hanging="360"/>
      </w:pPr>
    </w:lvl>
  </w:abstractNum>
  <w:abstractNum w:abstractNumId="4" w15:restartNumberingAfterBreak="0">
    <w:nsid w:val="7EED0FE0"/>
    <w:multiLevelType w:val="multilevel"/>
    <w:tmpl w:val="9D2879DA"/>
    <w:lvl w:ilvl="0">
      <w:start w:val="1"/>
      <w:numFmt w:val="decimal"/>
      <w:pStyle w:val="Heading1"/>
      <w:suff w:val="nothing"/>
      <w:lvlText w:val="%1"/>
      <w:lvlJc w:val="center"/>
      <w:pPr>
        <w:ind w:left="0" w:firstLine="0"/>
      </w:pPr>
      <w:rPr>
        <w:rFonts w:ascii="Times New Roman" w:hAnsi="Times New Roman" w:hint="default"/>
        <w:b/>
        <w:bCs w:val="0"/>
        <w:i w:val="0"/>
        <w:iCs w:val="0"/>
        <w:caps w:val="0"/>
        <w:strike w:val="0"/>
        <w:dstrike w:val="0"/>
        <w:vanish/>
        <w:color w:val="auto"/>
        <w:spacing w:val="0"/>
        <w:kern w:val="0"/>
        <w:position w:val="0"/>
        <w:sz w:val="28"/>
        <w:u w:val="none"/>
        <w:vertAlign w:val="baseline"/>
        <w:em w:val="none"/>
      </w:rPr>
    </w:lvl>
    <w:lvl w:ilvl="1">
      <w:start w:val="1"/>
      <w:numFmt w:val="decimal"/>
      <w:suff w:val="space"/>
      <w:lvlText w:val="%1.%2"/>
      <w:lvlJc w:val="left"/>
      <w:pPr>
        <w:ind w:left="0" w:firstLine="0"/>
      </w:pPr>
      <w:rPr>
        <w:rFonts w:ascii="Times New Roman" w:hAnsi="Times New Roman" w:hint="default"/>
        <w:b/>
        <w:color w:val="auto"/>
        <w:sz w:val="24"/>
        <w:u w:val="none"/>
      </w:rPr>
    </w:lvl>
    <w:lvl w:ilvl="2">
      <w:start w:val="1"/>
      <w:numFmt w:val="decimal"/>
      <w:suff w:val="space"/>
      <w:lvlText w:val="%1.%2.%3"/>
      <w:lvlJc w:val="left"/>
      <w:pPr>
        <w:ind w:left="568" w:firstLine="0"/>
      </w:pPr>
      <w:rPr>
        <w:rFonts w:hint="default"/>
        <w:b/>
        <w:i w:val="0"/>
        <w:color w:val="auto"/>
        <w:sz w:val="24"/>
        <w:u w:val="none"/>
      </w:rPr>
    </w:lvl>
    <w:lvl w:ilvl="3">
      <w:start w:val="1"/>
      <w:numFmt w:val="decimal"/>
      <w:suff w:val="space"/>
      <w:lvlText w:val="%1.%2.%3.%4"/>
      <w:lvlJc w:val="left"/>
      <w:pPr>
        <w:ind w:left="0" w:firstLine="0"/>
      </w:pPr>
      <w:rPr>
        <w:rFonts w:ascii="Times New Roman" w:hAnsi="Times New Roman" w:hint="default"/>
        <w:b/>
        <w:i/>
        <w:color w:val="auto"/>
        <w:sz w:val="24"/>
        <w:u w:val="none"/>
      </w:rPr>
    </w:lvl>
    <w:lvl w:ilvl="4">
      <w:start w:val="1"/>
      <w:numFmt w:val="decimal"/>
      <w:pStyle w:val="Heading5"/>
      <w:suff w:val="space"/>
      <w:lvlText w:val="%1.%2.%3.%4.%5"/>
      <w:lvlJc w:val="left"/>
      <w:pPr>
        <w:ind w:left="0" w:firstLine="0"/>
      </w:pPr>
      <w:rPr>
        <w:rFonts w:ascii="Times New Roman" w:hAnsi="Times New Roman" w:hint="default"/>
        <w:i/>
        <w:color w:val="auto"/>
        <w:sz w:val="24"/>
        <w:u w:val="singl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80"/>
    <w:rsid w:val="00004143"/>
    <w:rsid w:val="00036040"/>
    <w:rsid w:val="0004017E"/>
    <w:rsid w:val="00040A00"/>
    <w:rsid w:val="00040A02"/>
    <w:rsid w:val="00055FF4"/>
    <w:rsid w:val="00077878"/>
    <w:rsid w:val="00095484"/>
    <w:rsid w:val="00096E6D"/>
    <w:rsid w:val="000A2F38"/>
    <w:rsid w:val="000B64DD"/>
    <w:rsid w:val="000D147E"/>
    <w:rsid w:val="000D497B"/>
    <w:rsid w:val="000D6FF0"/>
    <w:rsid w:val="000F6955"/>
    <w:rsid w:val="001118F8"/>
    <w:rsid w:val="00123ECF"/>
    <w:rsid w:val="00124053"/>
    <w:rsid w:val="00126685"/>
    <w:rsid w:val="00132B66"/>
    <w:rsid w:val="00164CE8"/>
    <w:rsid w:val="00196871"/>
    <w:rsid w:val="001A4EAB"/>
    <w:rsid w:val="001B12C5"/>
    <w:rsid w:val="001C2D37"/>
    <w:rsid w:val="001C3230"/>
    <w:rsid w:val="001D131C"/>
    <w:rsid w:val="001F3482"/>
    <w:rsid w:val="00202FD5"/>
    <w:rsid w:val="00203FD7"/>
    <w:rsid w:val="00210935"/>
    <w:rsid w:val="00214EFA"/>
    <w:rsid w:val="00263126"/>
    <w:rsid w:val="00264509"/>
    <w:rsid w:val="00291174"/>
    <w:rsid w:val="002979C8"/>
    <w:rsid w:val="002C3E00"/>
    <w:rsid w:val="002C5FB2"/>
    <w:rsid w:val="002D10BA"/>
    <w:rsid w:val="002D1DC8"/>
    <w:rsid w:val="002D4EBC"/>
    <w:rsid w:val="002E4CB9"/>
    <w:rsid w:val="002E668A"/>
    <w:rsid w:val="003021DD"/>
    <w:rsid w:val="00314AFA"/>
    <w:rsid w:val="00341890"/>
    <w:rsid w:val="00350DF3"/>
    <w:rsid w:val="003522A6"/>
    <w:rsid w:val="00363EC4"/>
    <w:rsid w:val="0037785A"/>
    <w:rsid w:val="00384508"/>
    <w:rsid w:val="003A608E"/>
    <w:rsid w:val="003B36DB"/>
    <w:rsid w:val="003C4E08"/>
    <w:rsid w:val="003C5122"/>
    <w:rsid w:val="003E2653"/>
    <w:rsid w:val="003E4BE8"/>
    <w:rsid w:val="00407528"/>
    <w:rsid w:val="00422448"/>
    <w:rsid w:val="00466773"/>
    <w:rsid w:val="00473E9C"/>
    <w:rsid w:val="004B0D94"/>
    <w:rsid w:val="004D0D84"/>
    <w:rsid w:val="004E1705"/>
    <w:rsid w:val="004E5494"/>
    <w:rsid w:val="004E6AA2"/>
    <w:rsid w:val="004E76EC"/>
    <w:rsid w:val="00522B7E"/>
    <w:rsid w:val="00581BA6"/>
    <w:rsid w:val="00585ED1"/>
    <w:rsid w:val="00590CE0"/>
    <w:rsid w:val="0059318B"/>
    <w:rsid w:val="005A2481"/>
    <w:rsid w:val="005B345E"/>
    <w:rsid w:val="005C7D14"/>
    <w:rsid w:val="005D1835"/>
    <w:rsid w:val="005D259F"/>
    <w:rsid w:val="005E5015"/>
    <w:rsid w:val="005F5428"/>
    <w:rsid w:val="00604DA3"/>
    <w:rsid w:val="00612564"/>
    <w:rsid w:val="006238A9"/>
    <w:rsid w:val="00644A91"/>
    <w:rsid w:val="00654CBA"/>
    <w:rsid w:val="0065729B"/>
    <w:rsid w:val="00692476"/>
    <w:rsid w:val="00697FD2"/>
    <w:rsid w:val="006B40F3"/>
    <w:rsid w:val="006C2574"/>
    <w:rsid w:val="006C2576"/>
    <w:rsid w:val="006F5C1B"/>
    <w:rsid w:val="006F64E9"/>
    <w:rsid w:val="00700D04"/>
    <w:rsid w:val="007213A7"/>
    <w:rsid w:val="00732BBC"/>
    <w:rsid w:val="00740193"/>
    <w:rsid w:val="00763C1D"/>
    <w:rsid w:val="00767E75"/>
    <w:rsid w:val="00774A26"/>
    <w:rsid w:val="007776F1"/>
    <w:rsid w:val="007B583F"/>
    <w:rsid w:val="007E1559"/>
    <w:rsid w:val="007F42FC"/>
    <w:rsid w:val="0080672E"/>
    <w:rsid w:val="00813370"/>
    <w:rsid w:val="0085706A"/>
    <w:rsid w:val="00870D36"/>
    <w:rsid w:val="008738C1"/>
    <w:rsid w:val="008A392A"/>
    <w:rsid w:val="008A677C"/>
    <w:rsid w:val="008B1180"/>
    <w:rsid w:val="008C0A5A"/>
    <w:rsid w:val="008E04F2"/>
    <w:rsid w:val="00900DFB"/>
    <w:rsid w:val="00913E85"/>
    <w:rsid w:val="0093313E"/>
    <w:rsid w:val="0093451F"/>
    <w:rsid w:val="009746C2"/>
    <w:rsid w:val="009824D7"/>
    <w:rsid w:val="009923A8"/>
    <w:rsid w:val="009D4ECC"/>
    <w:rsid w:val="009D5366"/>
    <w:rsid w:val="009E1257"/>
    <w:rsid w:val="009F3A3C"/>
    <w:rsid w:val="009F4FA4"/>
    <w:rsid w:val="00A02CB1"/>
    <w:rsid w:val="00A06147"/>
    <w:rsid w:val="00A12355"/>
    <w:rsid w:val="00A40DEC"/>
    <w:rsid w:val="00A4421D"/>
    <w:rsid w:val="00A46BE6"/>
    <w:rsid w:val="00A60706"/>
    <w:rsid w:val="00A62E09"/>
    <w:rsid w:val="00A808EB"/>
    <w:rsid w:val="00A84F0B"/>
    <w:rsid w:val="00A86550"/>
    <w:rsid w:val="00AA3325"/>
    <w:rsid w:val="00AB73C3"/>
    <w:rsid w:val="00AD57C4"/>
    <w:rsid w:val="00B03F33"/>
    <w:rsid w:val="00B32866"/>
    <w:rsid w:val="00B40269"/>
    <w:rsid w:val="00B51813"/>
    <w:rsid w:val="00B54061"/>
    <w:rsid w:val="00B828A7"/>
    <w:rsid w:val="00B850BE"/>
    <w:rsid w:val="00B95F5B"/>
    <w:rsid w:val="00BB09E0"/>
    <w:rsid w:val="00BB24F2"/>
    <w:rsid w:val="00C14C52"/>
    <w:rsid w:val="00C15FE9"/>
    <w:rsid w:val="00C17CA0"/>
    <w:rsid w:val="00C7329F"/>
    <w:rsid w:val="00CB5581"/>
    <w:rsid w:val="00CC12BD"/>
    <w:rsid w:val="00CC33F5"/>
    <w:rsid w:val="00CE4D4D"/>
    <w:rsid w:val="00CE4E29"/>
    <w:rsid w:val="00CF0524"/>
    <w:rsid w:val="00CF1F5C"/>
    <w:rsid w:val="00CF4F15"/>
    <w:rsid w:val="00D07C37"/>
    <w:rsid w:val="00D42951"/>
    <w:rsid w:val="00D43013"/>
    <w:rsid w:val="00D4534E"/>
    <w:rsid w:val="00D56E6D"/>
    <w:rsid w:val="00D6772B"/>
    <w:rsid w:val="00D848C4"/>
    <w:rsid w:val="00D84DF7"/>
    <w:rsid w:val="00D86368"/>
    <w:rsid w:val="00D9199D"/>
    <w:rsid w:val="00DA5A3F"/>
    <w:rsid w:val="00DC2C5A"/>
    <w:rsid w:val="00DC5C96"/>
    <w:rsid w:val="00E14E76"/>
    <w:rsid w:val="00E235B8"/>
    <w:rsid w:val="00E2733F"/>
    <w:rsid w:val="00E31669"/>
    <w:rsid w:val="00E31795"/>
    <w:rsid w:val="00E76089"/>
    <w:rsid w:val="00E8712C"/>
    <w:rsid w:val="00ED0027"/>
    <w:rsid w:val="00ED3F37"/>
    <w:rsid w:val="00EE424A"/>
    <w:rsid w:val="00F019B7"/>
    <w:rsid w:val="00F102CE"/>
    <w:rsid w:val="00F350C5"/>
    <w:rsid w:val="00F51325"/>
    <w:rsid w:val="00F644A7"/>
    <w:rsid w:val="00F864FE"/>
    <w:rsid w:val="00F96576"/>
    <w:rsid w:val="00F96EF0"/>
    <w:rsid w:val="00F97CE3"/>
    <w:rsid w:val="00FA61D0"/>
    <w:rsid w:val="00FC0B35"/>
    <w:rsid w:val="00FC33B1"/>
    <w:rsid w:val="00FC4EE1"/>
    <w:rsid w:val="00FD305A"/>
    <w:rsid w:val="00FE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B5046"/>
  <w15:docId w15:val="{92054777-0656-41B0-89F8-C946F703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08EB"/>
    <w:pPr>
      <w:keepNext/>
      <w:keepLines/>
      <w:numPr>
        <w:numId w:val="3"/>
      </w:numPr>
      <w:spacing w:after="960"/>
      <w:jc w:val="center"/>
      <w:outlineLvl w:val="0"/>
    </w:pPr>
    <w:rPr>
      <w:rFonts w:eastAsiaTheme="majorEastAsia" w:cstheme="majorBidi"/>
      <w:b/>
      <w:bCs/>
      <w:caps/>
      <w:sz w:val="28"/>
      <w:szCs w:val="28"/>
      <w:lang w:val="en-GB"/>
    </w:rPr>
  </w:style>
  <w:style w:type="paragraph" w:styleId="Heading2">
    <w:name w:val="heading 2"/>
    <w:basedOn w:val="Normal"/>
    <w:next w:val="Normal"/>
    <w:link w:val="Heading2Char"/>
    <w:uiPriority w:val="9"/>
    <w:unhideWhenUsed/>
    <w:qFormat/>
    <w:rsid w:val="00A808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5484"/>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unhideWhenUsed/>
    <w:qFormat/>
    <w:rsid w:val="00813370"/>
    <w:pPr>
      <w:keepNext/>
      <w:keepLines/>
      <w:spacing w:before="40"/>
      <w:outlineLvl w:val="3"/>
    </w:pPr>
    <w:rPr>
      <w:rFonts w:ascii="Cambria" w:eastAsia="SimSun" w:hAnsi="Cambria"/>
      <w:i/>
      <w:iCs/>
      <w:color w:val="365F91"/>
    </w:rPr>
  </w:style>
  <w:style w:type="paragraph" w:styleId="Heading5">
    <w:name w:val="heading 5"/>
    <w:basedOn w:val="Normal"/>
    <w:next w:val="Normal"/>
    <w:link w:val="Heading5Char"/>
    <w:uiPriority w:val="9"/>
    <w:unhideWhenUsed/>
    <w:qFormat/>
    <w:rsid w:val="00A808EB"/>
    <w:pPr>
      <w:keepNext/>
      <w:keepLines/>
      <w:numPr>
        <w:ilvl w:val="4"/>
        <w:numId w:val="3"/>
      </w:numPr>
      <w:spacing w:after="240"/>
      <w:jc w:val="both"/>
      <w:outlineLvl w:val="4"/>
    </w:pPr>
    <w:rPr>
      <w:rFonts w:eastAsiaTheme="majorEastAsia" w:cstheme="majorBidi"/>
      <w:i/>
      <w:szCs w:val="22"/>
      <w:u w:val="single"/>
      <w:lang w:val="en-GB"/>
    </w:rPr>
  </w:style>
  <w:style w:type="paragraph" w:styleId="Heading6">
    <w:name w:val="heading 6"/>
    <w:basedOn w:val="Normal"/>
    <w:next w:val="Normal"/>
    <w:link w:val="Heading6Char"/>
    <w:uiPriority w:val="9"/>
    <w:unhideWhenUsed/>
    <w:rsid w:val="00A808EB"/>
    <w:pPr>
      <w:keepNext/>
      <w:keepLines/>
      <w:spacing w:before="200"/>
      <w:outlineLvl w:val="5"/>
    </w:pPr>
    <w:rPr>
      <w:rFonts w:asciiTheme="majorHAnsi" w:eastAsiaTheme="majorEastAsia" w:hAnsiTheme="majorHAnsi" w:cstheme="majorBidi"/>
      <w:i/>
      <w:iCs/>
      <w:color w:val="1F3763" w:themeColor="accent1" w:themeShade="7F"/>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missionTitle">
    <w:name w:val="Submission Title"/>
    <w:basedOn w:val="Normal"/>
    <w:rsid w:val="007776F1"/>
    <w:pPr>
      <w:spacing w:after="480"/>
      <w:jc w:val="center"/>
    </w:pPr>
    <w:rPr>
      <w:b/>
      <w:caps/>
      <w:sz w:val="28"/>
      <w:szCs w:val="28"/>
    </w:rPr>
  </w:style>
  <w:style w:type="paragraph" w:customStyle="1" w:styleId="Affiliation">
    <w:name w:val="Affiliation"/>
    <w:basedOn w:val="Normal"/>
    <w:pPr>
      <w:jc w:val="center"/>
    </w:pPr>
    <w:rPr>
      <w:i/>
      <w:iCs/>
      <w:sz w:val="18"/>
    </w:rPr>
  </w:style>
  <w:style w:type="paragraph" w:customStyle="1" w:styleId="AuthorName">
    <w:name w:val="Author Name"/>
    <w:basedOn w:val="Normal"/>
    <w:next w:val="Affiliation"/>
    <w:pPr>
      <w:jc w:val="center"/>
    </w:pPr>
    <w:rPr>
      <w:sz w:val="22"/>
    </w:rPr>
  </w:style>
  <w:style w:type="paragraph" w:customStyle="1" w:styleId="AbstractText">
    <w:name w:val="Abstract Text"/>
    <w:basedOn w:val="Normal"/>
    <w:pPr>
      <w:jc w:val="both"/>
    </w:pPr>
    <w:rPr>
      <w:sz w:val="18"/>
    </w:rPr>
  </w:style>
  <w:style w:type="paragraph" w:customStyle="1" w:styleId="AbstractTitle">
    <w:name w:val="Abstract Title"/>
    <w:basedOn w:val="Normal"/>
    <w:next w:val="AbstractText"/>
    <w:pPr>
      <w:spacing w:before="840" w:after="120"/>
      <w:jc w:val="both"/>
    </w:pPr>
    <w:rPr>
      <w:b/>
      <w:bCs/>
      <w:caps/>
      <w:sz w:val="18"/>
    </w:rPr>
  </w:style>
  <w:style w:type="paragraph" w:customStyle="1" w:styleId="KeywordsText">
    <w:name w:val="Keywords Text"/>
    <w:basedOn w:val="Normal"/>
    <w:pPr>
      <w:jc w:val="both"/>
    </w:pPr>
    <w:rPr>
      <w:sz w:val="18"/>
    </w:rPr>
  </w:style>
  <w:style w:type="paragraph" w:customStyle="1" w:styleId="KeywordsTitle">
    <w:name w:val="Keywords Title"/>
    <w:basedOn w:val="Normal"/>
    <w:next w:val="KeywordsText"/>
    <w:pPr>
      <w:spacing w:before="360" w:after="120"/>
      <w:jc w:val="both"/>
    </w:pPr>
    <w:rPr>
      <w:b/>
      <w:bCs/>
      <w:caps/>
      <w:sz w:val="18"/>
    </w:rPr>
  </w:style>
  <w:style w:type="paragraph" w:customStyle="1" w:styleId="FirstOrderHeadings">
    <w:name w:val="First Order Headings"/>
    <w:basedOn w:val="Normal"/>
    <w:next w:val="MainText"/>
    <w:pPr>
      <w:numPr>
        <w:numId w:val="1"/>
      </w:numPr>
      <w:spacing w:before="480" w:after="240"/>
      <w:jc w:val="both"/>
    </w:pPr>
    <w:rPr>
      <w:b/>
      <w:bCs/>
      <w:caps/>
      <w:sz w:val="26"/>
    </w:rPr>
  </w:style>
  <w:style w:type="paragraph" w:customStyle="1" w:styleId="MainText">
    <w:name w:val="Main Text"/>
    <w:basedOn w:val="Normal"/>
    <w:pPr>
      <w:ind w:firstLine="284"/>
      <w:jc w:val="both"/>
    </w:pPr>
    <w:rPr>
      <w:sz w:val="20"/>
    </w:rPr>
  </w:style>
  <w:style w:type="paragraph" w:customStyle="1" w:styleId="SecondOrderHeadings">
    <w:name w:val="Second Order Headings"/>
    <w:basedOn w:val="Normal"/>
    <w:next w:val="MainText"/>
    <w:pPr>
      <w:spacing w:before="240" w:after="240"/>
      <w:jc w:val="both"/>
    </w:pPr>
    <w:rPr>
      <w:b/>
      <w:bCs/>
      <w:sz w:val="26"/>
    </w:rPr>
  </w:style>
  <w:style w:type="paragraph" w:customStyle="1" w:styleId="ThirdOrderHeading">
    <w:name w:val="Third Order Heading"/>
    <w:basedOn w:val="Normal"/>
    <w:next w:val="MainText"/>
    <w:pPr>
      <w:spacing w:before="120" w:after="120"/>
      <w:jc w:val="both"/>
    </w:pPr>
    <w:rPr>
      <w:b/>
      <w:bCs/>
      <w:sz w:val="22"/>
    </w:rPr>
  </w:style>
  <w:style w:type="paragraph" w:customStyle="1" w:styleId="CaptionFiguresTables">
    <w:name w:val="Caption Figures/Tables"/>
    <w:basedOn w:val="Normal"/>
    <w:pPr>
      <w:spacing w:before="120" w:after="120"/>
      <w:jc w:val="center"/>
    </w:pPr>
    <w:rPr>
      <w:sz w:val="18"/>
    </w:rPr>
  </w:style>
  <w:style w:type="paragraph" w:customStyle="1" w:styleId="References">
    <w:name w:val="References"/>
    <w:basedOn w:val="Normal"/>
    <w:pPr>
      <w:spacing w:line="220" w:lineRule="exact"/>
      <w:ind w:left="240" w:hanging="240"/>
    </w:pPr>
    <w:rPr>
      <w:sz w:val="18"/>
      <w:szCs w:val="20"/>
      <w:lang w:val="en-GB"/>
    </w:rPr>
  </w:style>
  <w:style w:type="paragraph" w:customStyle="1" w:styleId="Acknowledgement">
    <w:name w:val="Acknowledgement"/>
    <w:basedOn w:val="Normal"/>
    <w:next w:val="MainText"/>
    <w:pPr>
      <w:spacing w:before="480" w:after="240"/>
      <w:jc w:val="both"/>
    </w:pPr>
    <w:rPr>
      <w:b/>
      <w:bCs/>
      <w:caps/>
      <w:sz w:val="26"/>
    </w:rPr>
  </w:style>
  <w:style w:type="paragraph" w:customStyle="1" w:styleId="ReferencesTitle">
    <w:name w:val="References Title"/>
    <w:basedOn w:val="Acknowledgement"/>
    <w:next w:val="ReferencesText"/>
  </w:style>
  <w:style w:type="paragraph" w:customStyle="1" w:styleId="ReferencesText">
    <w:name w:val="References Text"/>
    <w:basedOn w:val="Normal"/>
    <w:pPr>
      <w:spacing w:after="40"/>
      <w:ind w:left="284" w:hanging="284"/>
      <w:jc w:val="both"/>
    </w:pPr>
    <w:rPr>
      <w:sz w:val="18"/>
    </w:rPr>
  </w:style>
  <w:style w:type="paragraph" w:styleId="NoSpacing">
    <w:name w:val="No Spacing"/>
    <w:uiPriority w:val="1"/>
    <w:qFormat/>
    <w:rsid w:val="00FC33B1"/>
    <w:rPr>
      <w:sz w:val="24"/>
      <w:szCs w:val="24"/>
    </w:rPr>
  </w:style>
  <w:style w:type="character" w:styleId="Hyperlink">
    <w:name w:val="Hyperlink"/>
    <w:uiPriority w:val="99"/>
    <w:unhideWhenUsed/>
    <w:rsid w:val="001C2D37"/>
    <w:rPr>
      <w:color w:val="0000FF"/>
      <w:u w:val="single"/>
    </w:rPr>
  </w:style>
  <w:style w:type="table" w:styleId="TableGrid">
    <w:name w:val="Table Grid"/>
    <w:basedOn w:val="TableNormal"/>
    <w:uiPriority w:val="39"/>
    <w:rsid w:val="001C2D37"/>
    <w:rPr>
      <w:rFonts w:ascii="Calibri" w:eastAsia="Calibri" w:hAnsi="Calibri" w:cs="Arial"/>
      <w:lang w:val="en-MY"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813370"/>
    <w:rPr>
      <w:rFonts w:ascii="Cambria" w:eastAsia="MS Mincho" w:hAnsi="Cambria"/>
      <w:lang w:val="x-none" w:eastAsia="ja-JP"/>
    </w:rPr>
  </w:style>
  <w:style w:type="character" w:customStyle="1" w:styleId="FootnoteTextChar">
    <w:name w:val="Footnote Text Char"/>
    <w:link w:val="FootnoteText"/>
    <w:uiPriority w:val="99"/>
    <w:rsid w:val="00813370"/>
    <w:rPr>
      <w:rFonts w:ascii="Cambria" w:eastAsia="MS Mincho" w:hAnsi="Cambria"/>
      <w:sz w:val="24"/>
      <w:szCs w:val="24"/>
      <w:lang w:val="x-none" w:eastAsia="ja-JP"/>
    </w:rPr>
  </w:style>
  <w:style w:type="paragraph" w:customStyle="1" w:styleId="Style2">
    <w:name w:val="Style2"/>
    <w:basedOn w:val="Heading4"/>
    <w:qFormat/>
    <w:rsid w:val="00813370"/>
    <w:pPr>
      <w:numPr>
        <w:numId w:val="2"/>
      </w:numPr>
      <w:tabs>
        <w:tab w:val="num" w:pos="360"/>
      </w:tabs>
      <w:spacing w:line="259" w:lineRule="auto"/>
      <w:ind w:left="357" w:hanging="357"/>
    </w:pPr>
    <w:rPr>
      <w:rFonts w:ascii="Times New Roman" w:hAnsi="Times New Roman"/>
      <w:b/>
      <w:i w:val="0"/>
      <w:color w:val="000000"/>
      <w:szCs w:val="22"/>
      <w:lang w:val="en-MY" w:eastAsia="zh-CN"/>
    </w:rPr>
  </w:style>
  <w:style w:type="paragraph" w:customStyle="1" w:styleId="Sub1">
    <w:name w:val="Sub 1"/>
    <w:basedOn w:val="Normal"/>
    <w:link w:val="Sub1Char"/>
    <w:qFormat/>
    <w:rsid w:val="00813370"/>
    <w:pPr>
      <w:numPr>
        <w:ilvl w:val="1"/>
        <w:numId w:val="2"/>
      </w:numPr>
      <w:shd w:val="clear" w:color="auto" w:fill="FFFFFF"/>
      <w:jc w:val="both"/>
    </w:pPr>
    <w:rPr>
      <w:lang w:val="en-MY" w:eastAsia="zh-CN"/>
    </w:rPr>
  </w:style>
  <w:style w:type="character" w:customStyle="1" w:styleId="Sub1Char">
    <w:name w:val="Sub 1 Char"/>
    <w:link w:val="Sub1"/>
    <w:rsid w:val="00813370"/>
    <w:rPr>
      <w:sz w:val="24"/>
      <w:szCs w:val="24"/>
      <w:shd w:val="clear" w:color="auto" w:fill="FFFFFF"/>
      <w:lang w:val="en-MY" w:eastAsia="zh-CN"/>
    </w:rPr>
  </w:style>
  <w:style w:type="character" w:customStyle="1" w:styleId="Heading4Char">
    <w:name w:val="Heading 4 Char"/>
    <w:link w:val="Heading4"/>
    <w:uiPriority w:val="9"/>
    <w:rsid w:val="00813370"/>
    <w:rPr>
      <w:rFonts w:ascii="Cambria" w:eastAsia="SimSun" w:hAnsi="Cambria" w:cs="Times New Roman"/>
      <w:i/>
      <w:iCs/>
      <w:color w:val="365F91"/>
      <w:sz w:val="24"/>
      <w:szCs w:val="24"/>
    </w:rPr>
  </w:style>
  <w:style w:type="character" w:styleId="Emphasis">
    <w:name w:val="Emphasis"/>
    <w:uiPriority w:val="20"/>
    <w:qFormat/>
    <w:rsid w:val="001A4EAB"/>
    <w:rPr>
      <w:i/>
      <w:iCs/>
    </w:rPr>
  </w:style>
  <w:style w:type="paragraph" w:styleId="NormalWeb">
    <w:name w:val="Normal (Web)"/>
    <w:basedOn w:val="Normal"/>
    <w:uiPriority w:val="99"/>
    <w:unhideWhenUsed/>
    <w:rsid w:val="00040A02"/>
    <w:pPr>
      <w:spacing w:before="100" w:beforeAutospacing="1" w:after="100" w:afterAutospacing="1"/>
    </w:pPr>
    <w:rPr>
      <w:lang w:val="en-MY" w:eastAsia="zh-CN"/>
    </w:rPr>
  </w:style>
  <w:style w:type="table" w:styleId="PlainTable2">
    <w:name w:val="Plain Table 2"/>
    <w:basedOn w:val="TableNormal"/>
    <w:uiPriority w:val="42"/>
    <w:rsid w:val="0040752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3Char">
    <w:name w:val="Heading 3 Char"/>
    <w:link w:val="Heading3"/>
    <w:uiPriority w:val="9"/>
    <w:rsid w:val="00095484"/>
    <w:rPr>
      <w:rFonts w:ascii="Calibri Light" w:eastAsia="DengXian Light" w:hAnsi="Calibri Light" w:cs="Times New Roman"/>
      <w:b/>
      <w:bCs/>
      <w:sz w:val="26"/>
      <w:szCs w:val="26"/>
      <w:lang w:val="en-US" w:eastAsia="en-US"/>
    </w:rPr>
  </w:style>
  <w:style w:type="paragraph" w:styleId="Header">
    <w:name w:val="header"/>
    <w:basedOn w:val="Normal"/>
    <w:link w:val="HeaderChar"/>
    <w:uiPriority w:val="99"/>
    <w:unhideWhenUsed/>
    <w:rsid w:val="00DC2C5A"/>
    <w:pPr>
      <w:tabs>
        <w:tab w:val="center" w:pos="4513"/>
        <w:tab w:val="right" w:pos="9026"/>
      </w:tabs>
    </w:pPr>
  </w:style>
  <w:style w:type="character" w:customStyle="1" w:styleId="HeaderChar">
    <w:name w:val="Header Char"/>
    <w:link w:val="Header"/>
    <w:uiPriority w:val="99"/>
    <w:rsid w:val="00DC2C5A"/>
    <w:rPr>
      <w:sz w:val="24"/>
      <w:szCs w:val="24"/>
      <w:lang w:val="en-US" w:eastAsia="en-US"/>
    </w:rPr>
  </w:style>
  <w:style w:type="paragraph" w:styleId="Footer">
    <w:name w:val="footer"/>
    <w:basedOn w:val="Normal"/>
    <w:link w:val="FooterChar"/>
    <w:uiPriority w:val="99"/>
    <w:unhideWhenUsed/>
    <w:rsid w:val="00DC2C5A"/>
    <w:pPr>
      <w:tabs>
        <w:tab w:val="center" w:pos="4513"/>
        <w:tab w:val="right" w:pos="9026"/>
      </w:tabs>
    </w:pPr>
  </w:style>
  <w:style w:type="character" w:customStyle="1" w:styleId="FooterChar">
    <w:name w:val="Footer Char"/>
    <w:link w:val="Footer"/>
    <w:uiPriority w:val="99"/>
    <w:rsid w:val="00DC2C5A"/>
    <w:rPr>
      <w:sz w:val="24"/>
      <w:szCs w:val="24"/>
      <w:lang w:val="en-US" w:eastAsia="en-US"/>
    </w:rPr>
  </w:style>
  <w:style w:type="character" w:customStyle="1" w:styleId="deletebutton">
    <w:name w:val="delete_button"/>
    <w:rsid w:val="001C3230"/>
  </w:style>
  <w:style w:type="paragraph" w:styleId="ListParagraph">
    <w:name w:val="List Paragraph"/>
    <w:basedOn w:val="Normal"/>
    <w:uiPriority w:val="34"/>
    <w:qFormat/>
    <w:rsid w:val="005D259F"/>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A808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08EB"/>
    <w:rPr>
      <w:rFonts w:eastAsiaTheme="majorEastAsia" w:cstheme="majorBidi"/>
      <w:b/>
      <w:bCs/>
      <w:caps/>
      <w:sz w:val="28"/>
      <w:szCs w:val="28"/>
      <w:lang w:val="en-GB"/>
    </w:rPr>
  </w:style>
  <w:style w:type="character" w:customStyle="1" w:styleId="Heading5Char">
    <w:name w:val="Heading 5 Char"/>
    <w:basedOn w:val="DefaultParagraphFont"/>
    <w:link w:val="Heading5"/>
    <w:uiPriority w:val="9"/>
    <w:rsid w:val="00A808EB"/>
    <w:rPr>
      <w:rFonts w:eastAsiaTheme="majorEastAsia" w:cstheme="majorBidi"/>
      <w:i/>
      <w:sz w:val="24"/>
      <w:szCs w:val="22"/>
      <w:u w:val="single"/>
      <w:lang w:val="en-GB"/>
    </w:rPr>
  </w:style>
  <w:style w:type="character" w:customStyle="1" w:styleId="Heading6Char">
    <w:name w:val="Heading 6 Char"/>
    <w:basedOn w:val="DefaultParagraphFont"/>
    <w:link w:val="Heading6"/>
    <w:uiPriority w:val="9"/>
    <w:rsid w:val="00A808EB"/>
    <w:rPr>
      <w:rFonts w:asciiTheme="majorHAnsi" w:eastAsiaTheme="majorEastAsia" w:hAnsiTheme="majorHAnsi" w:cstheme="majorBidi"/>
      <w:i/>
      <w:iCs/>
      <w:color w:val="1F3763" w:themeColor="accent1" w:themeShade="7F"/>
      <w:sz w:val="24"/>
      <w:szCs w:val="22"/>
      <w:lang w:val="en-GB"/>
    </w:rPr>
  </w:style>
  <w:style w:type="table" w:customStyle="1" w:styleId="TableGrid2">
    <w:name w:val="Table Grid2"/>
    <w:basedOn w:val="TableNormal"/>
    <w:next w:val="TableGrid"/>
    <w:uiPriority w:val="59"/>
    <w:rsid w:val="00A808EB"/>
    <w:rPr>
      <w:rFonts w:ascii="Calibri" w:eastAsia="Calibri" w:hAnsi="Calibri" w:cs="Arial"/>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TitlePageI">
    <w:name w:val="Cover Page &amp; Title Page I"/>
    <w:basedOn w:val="Normal"/>
    <w:next w:val="Normal"/>
    <w:autoRedefine/>
    <w:qFormat/>
    <w:rsid w:val="00A808EB"/>
    <w:pPr>
      <w:keepNext/>
      <w:keepLines/>
      <w:jc w:val="center"/>
    </w:pPr>
    <w:rPr>
      <w:rFonts w:eastAsiaTheme="minorHAnsi" w:cstheme="minorBidi"/>
      <w:caps/>
      <w:sz w:val="34"/>
      <w:szCs w:val="34"/>
      <w:lang w:val="en-GB"/>
    </w:rPr>
  </w:style>
  <w:style w:type="paragraph" w:styleId="DocumentMap">
    <w:name w:val="Document Map"/>
    <w:basedOn w:val="Normal"/>
    <w:link w:val="DocumentMapChar"/>
    <w:uiPriority w:val="99"/>
    <w:semiHidden/>
    <w:unhideWhenUsed/>
    <w:rsid w:val="00A808EB"/>
    <w:rPr>
      <w:rFonts w:ascii="Tahoma" w:eastAsiaTheme="minorHAnsi" w:hAnsi="Tahoma" w:cs="Tahoma"/>
      <w:sz w:val="16"/>
      <w:szCs w:val="16"/>
      <w:lang w:val="en-GB"/>
    </w:rPr>
  </w:style>
  <w:style w:type="character" w:customStyle="1" w:styleId="DocumentMapChar">
    <w:name w:val="Document Map Char"/>
    <w:basedOn w:val="DefaultParagraphFont"/>
    <w:link w:val="DocumentMap"/>
    <w:uiPriority w:val="99"/>
    <w:semiHidden/>
    <w:rsid w:val="00A808EB"/>
    <w:rPr>
      <w:rFonts w:ascii="Tahoma" w:eastAsiaTheme="minorHAnsi" w:hAnsi="Tahoma" w:cs="Tahoma"/>
      <w:sz w:val="16"/>
      <w:szCs w:val="16"/>
      <w:lang w:val="en-GB"/>
    </w:rPr>
  </w:style>
  <w:style w:type="paragraph" w:customStyle="1" w:styleId="TitlePageII">
    <w:name w:val="Title Page II"/>
    <w:basedOn w:val="CoverPageTitlePageI"/>
    <w:next w:val="Normal"/>
    <w:qFormat/>
    <w:rsid w:val="00A808EB"/>
    <w:rPr>
      <w:caps w:val="0"/>
    </w:rPr>
  </w:style>
  <w:style w:type="paragraph" w:customStyle="1" w:styleId="PreliminaryHeadings">
    <w:name w:val="Preliminary Headings"/>
    <w:basedOn w:val="Normal"/>
    <w:next w:val="Normal"/>
    <w:qFormat/>
    <w:rsid w:val="00A808EB"/>
    <w:pPr>
      <w:spacing w:line="960" w:lineRule="auto"/>
      <w:jc w:val="center"/>
      <w:outlineLvl w:val="0"/>
    </w:pPr>
    <w:rPr>
      <w:rFonts w:eastAsiaTheme="minorHAnsi" w:cstheme="minorBidi"/>
      <w:b/>
      <w:caps/>
      <w:sz w:val="28"/>
      <w:szCs w:val="22"/>
      <w:lang w:val="en-GB"/>
    </w:rPr>
  </w:style>
  <w:style w:type="paragraph" w:customStyle="1" w:styleId="PreliminaryBodyText">
    <w:name w:val="Preliminary Body Text"/>
    <w:basedOn w:val="Normal"/>
    <w:autoRedefine/>
    <w:qFormat/>
    <w:rsid w:val="00A808EB"/>
    <w:pPr>
      <w:tabs>
        <w:tab w:val="left" w:pos="4635"/>
      </w:tabs>
      <w:jc w:val="both"/>
    </w:pPr>
    <w:rPr>
      <w:rFonts w:eastAsiaTheme="minorHAnsi" w:cstheme="minorBidi"/>
      <w:szCs w:val="22"/>
      <w:lang w:val="en-GB"/>
    </w:rPr>
  </w:style>
  <w:style w:type="paragraph" w:customStyle="1" w:styleId="ApprovalPageRightIndent">
    <w:name w:val="Approval Page Right Indent"/>
    <w:basedOn w:val="PreliminaryBodyText"/>
    <w:next w:val="Normal"/>
    <w:autoRedefine/>
    <w:qFormat/>
    <w:rsid w:val="00A808EB"/>
    <w:pPr>
      <w:keepNext/>
      <w:keepLines/>
      <w:ind w:left="5040"/>
    </w:pPr>
  </w:style>
  <w:style w:type="paragraph" w:styleId="BalloonText">
    <w:name w:val="Balloon Text"/>
    <w:basedOn w:val="Normal"/>
    <w:link w:val="BalloonTextChar"/>
    <w:uiPriority w:val="99"/>
    <w:unhideWhenUsed/>
    <w:rsid w:val="00A808EB"/>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rsid w:val="00A808EB"/>
    <w:rPr>
      <w:rFonts w:ascii="Tahoma" w:eastAsiaTheme="minorHAnsi" w:hAnsi="Tahoma" w:cs="Tahoma"/>
      <w:sz w:val="16"/>
      <w:szCs w:val="16"/>
      <w:lang w:val="en-GB"/>
    </w:rPr>
  </w:style>
  <w:style w:type="paragraph" w:styleId="TableofFigures">
    <w:name w:val="table of figures"/>
    <w:basedOn w:val="Normal"/>
    <w:next w:val="Normal"/>
    <w:uiPriority w:val="99"/>
    <w:unhideWhenUsed/>
    <w:rsid w:val="00A808EB"/>
    <w:pPr>
      <w:tabs>
        <w:tab w:val="left" w:pos="7825"/>
      </w:tabs>
      <w:spacing w:after="240"/>
    </w:pPr>
    <w:rPr>
      <w:rFonts w:eastAsiaTheme="minorHAnsi" w:cstheme="minorBidi"/>
      <w:szCs w:val="22"/>
      <w:lang w:val="en-GB"/>
    </w:rPr>
  </w:style>
  <w:style w:type="paragraph" w:customStyle="1" w:styleId="CopyrightPageNumbering">
    <w:name w:val="Copyright Page (Numbering)"/>
    <w:basedOn w:val="Normal"/>
    <w:autoRedefine/>
    <w:qFormat/>
    <w:rsid w:val="00A808EB"/>
    <w:pPr>
      <w:numPr>
        <w:numId w:val="4"/>
      </w:numPr>
      <w:spacing w:before="240" w:after="480"/>
      <w:contextualSpacing/>
      <w:jc w:val="both"/>
    </w:pPr>
    <w:rPr>
      <w:rFonts w:eastAsiaTheme="minorHAnsi" w:cstheme="minorBidi"/>
      <w:szCs w:val="22"/>
      <w:lang w:val="en-GB"/>
    </w:rPr>
  </w:style>
  <w:style w:type="paragraph" w:styleId="TOCHeading">
    <w:name w:val="TOC Heading"/>
    <w:basedOn w:val="Heading1"/>
    <w:next w:val="Normal"/>
    <w:uiPriority w:val="39"/>
    <w:unhideWhenUsed/>
    <w:qFormat/>
    <w:rsid w:val="00A808EB"/>
    <w:pPr>
      <w:numPr>
        <w:numId w:val="5"/>
      </w:numPr>
      <w:spacing w:line="276" w:lineRule="auto"/>
      <w:outlineLvl w:val="9"/>
    </w:pPr>
  </w:style>
  <w:style w:type="paragraph" w:styleId="TOC1">
    <w:name w:val="toc 1"/>
    <w:basedOn w:val="Normal"/>
    <w:next w:val="Normal"/>
    <w:autoRedefine/>
    <w:uiPriority w:val="39"/>
    <w:unhideWhenUsed/>
    <w:qFormat/>
    <w:rsid w:val="00A808EB"/>
    <w:pPr>
      <w:tabs>
        <w:tab w:val="left" w:leader="dot" w:pos="7825"/>
      </w:tabs>
      <w:ind w:right="681"/>
      <w:jc w:val="both"/>
    </w:pPr>
    <w:rPr>
      <w:rFonts w:eastAsiaTheme="minorHAnsi"/>
      <w:b/>
      <w:noProof/>
      <w:snapToGrid w:val="0"/>
      <w:w w:val="0"/>
      <w:szCs w:val="22"/>
      <w:lang w:val="en-GB"/>
    </w:rPr>
  </w:style>
  <w:style w:type="paragraph" w:styleId="TOC2">
    <w:name w:val="toc 2"/>
    <w:basedOn w:val="Normal"/>
    <w:next w:val="Normal"/>
    <w:autoRedefine/>
    <w:uiPriority w:val="39"/>
    <w:unhideWhenUsed/>
    <w:qFormat/>
    <w:rsid w:val="00A808EB"/>
    <w:pPr>
      <w:tabs>
        <w:tab w:val="left" w:leader="dot" w:pos="7825"/>
      </w:tabs>
      <w:ind w:left="1049" w:right="680" w:hanging="369"/>
    </w:pPr>
    <w:rPr>
      <w:rFonts w:eastAsiaTheme="minorHAnsi" w:cstheme="minorHAnsi"/>
      <w:noProof/>
      <w:szCs w:val="20"/>
      <w:lang w:val="en-GB"/>
    </w:rPr>
  </w:style>
  <w:style w:type="paragraph" w:styleId="TOC3">
    <w:name w:val="toc 3"/>
    <w:basedOn w:val="Normal"/>
    <w:next w:val="Normal"/>
    <w:autoRedefine/>
    <w:uiPriority w:val="39"/>
    <w:unhideWhenUsed/>
    <w:qFormat/>
    <w:rsid w:val="00A808EB"/>
    <w:pPr>
      <w:tabs>
        <w:tab w:val="left" w:leader="dot" w:pos="7825"/>
      </w:tabs>
      <w:ind w:left="1644" w:right="681" w:hanging="567"/>
    </w:pPr>
    <w:rPr>
      <w:rFonts w:eastAsiaTheme="minorHAnsi" w:cstheme="minorHAnsi"/>
      <w:iCs/>
      <w:szCs w:val="20"/>
      <w:lang w:val="en-GB"/>
    </w:rPr>
  </w:style>
  <w:style w:type="paragraph" w:customStyle="1" w:styleId="BodyTextNotIndent">
    <w:name w:val="Body Text (Not Indent)"/>
    <w:basedOn w:val="Normal"/>
    <w:autoRedefine/>
    <w:qFormat/>
    <w:rsid w:val="00A808EB"/>
    <w:pPr>
      <w:jc w:val="both"/>
    </w:pPr>
    <w:rPr>
      <w:rFonts w:eastAsiaTheme="minorHAnsi" w:cstheme="minorBidi"/>
      <w:color w:val="FF0000"/>
      <w:szCs w:val="22"/>
      <w:lang w:val="en-GB"/>
    </w:rPr>
  </w:style>
  <w:style w:type="paragraph" w:customStyle="1" w:styleId="BodyTextIndent">
    <w:name w:val="Body Text (Indent)"/>
    <w:basedOn w:val="BodyTextNotIndent"/>
    <w:next w:val="Normal"/>
    <w:autoRedefine/>
    <w:qFormat/>
    <w:rsid w:val="00A808EB"/>
    <w:pPr>
      <w:ind w:firstLine="680"/>
      <w:contextualSpacing/>
    </w:pPr>
  </w:style>
  <w:style w:type="table" w:customStyle="1" w:styleId="LightShading-Accent11">
    <w:name w:val="Light Shading - Accent 11"/>
    <w:basedOn w:val="TableNormal"/>
    <w:uiPriority w:val="60"/>
    <w:rsid w:val="00A808EB"/>
    <w:rPr>
      <w:rFonts w:asciiTheme="minorHAnsi" w:eastAsiaTheme="minorHAnsi"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OC4">
    <w:name w:val="toc 4"/>
    <w:basedOn w:val="Normal"/>
    <w:next w:val="Normal"/>
    <w:autoRedefine/>
    <w:uiPriority w:val="39"/>
    <w:unhideWhenUsed/>
    <w:rsid w:val="00A808EB"/>
    <w:pPr>
      <w:tabs>
        <w:tab w:val="left" w:leader="dot" w:pos="7825"/>
      </w:tabs>
      <w:ind w:left="2381" w:hanging="737"/>
    </w:pPr>
    <w:rPr>
      <w:rFonts w:eastAsiaTheme="minorHAnsi" w:cstheme="minorHAnsi"/>
      <w:szCs w:val="18"/>
      <w:lang w:val="en-GB"/>
    </w:rPr>
  </w:style>
  <w:style w:type="paragraph" w:styleId="TOC5">
    <w:name w:val="toc 5"/>
    <w:basedOn w:val="Normal"/>
    <w:next w:val="Normal"/>
    <w:autoRedefine/>
    <w:uiPriority w:val="39"/>
    <w:unhideWhenUsed/>
    <w:rsid w:val="00A808EB"/>
    <w:pPr>
      <w:tabs>
        <w:tab w:val="left" w:leader="dot" w:pos="7825"/>
      </w:tabs>
      <w:ind w:left="1985"/>
    </w:pPr>
    <w:rPr>
      <w:rFonts w:eastAsiaTheme="minorHAnsi" w:cstheme="minorHAnsi"/>
      <w:szCs w:val="18"/>
      <w:lang w:val="en-GB"/>
    </w:rPr>
  </w:style>
  <w:style w:type="paragraph" w:customStyle="1" w:styleId="Heading0">
    <w:name w:val="Heading 0"/>
    <w:basedOn w:val="Heading1"/>
    <w:next w:val="Normal"/>
    <w:qFormat/>
    <w:rsid w:val="00A808EB"/>
    <w:pPr>
      <w:numPr>
        <w:numId w:val="0"/>
      </w:numPr>
      <w:spacing w:after="240"/>
    </w:pPr>
    <w:rPr>
      <w:bCs w:val="0"/>
      <w:caps w:val="0"/>
    </w:rPr>
  </w:style>
  <w:style w:type="numbering" w:customStyle="1" w:styleId="Style1">
    <w:name w:val="Style1"/>
    <w:uiPriority w:val="99"/>
    <w:rsid w:val="00A808EB"/>
    <w:pPr>
      <w:numPr>
        <w:numId w:val="5"/>
      </w:numPr>
    </w:pPr>
  </w:style>
  <w:style w:type="table" w:customStyle="1" w:styleId="TablesIIUM">
    <w:name w:val="Tables IIUM"/>
    <w:basedOn w:val="TableNormal"/>
    <w:uiPriority w:val="99"/>
    <w:qFormat/>
    <w:rsid w:val="00A808EB"/>
    <w:rPr>
      <w:rFonts w:eastAsiaTheme="minorHAnsi" w:cstheme="minorBid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s">
    <w:name w:val="Tables"/>
    <w:basedOn w:val="TablesIIUM"/>
    <w:uiPriority w:val="99"/>
    <w:rsid w:val="00A808EB"/>
    <w:tblPr/>
  </w:style>
  <w:style w:type="table" w:styleId="LightShading-Accent2">
    <w:name w:val="Light Shading Accent 2"/>
    <w:basedOn w:val="TableNormal"/>
    <w:uiPriority w:val="60"/>
    <w:rsid w:val="00A808EB"/>
    <w:rPr>
      <w:rFonts w:asciiTheme="minorHAnsi" w:eastAsiaTheme="minorHAnsi"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aption">
    <w:name w:val="caption"/>
    <w:basedOn w:val="Normal"/>
    <w:next w:val="Normal"/>
    <w:uiPriority w:val="35"/>
    <w:unhideWhenUsed/>
    <w:qFormat/>
    <w:rsid w:val="00A808EB"/>
    <w:pPr>
      <w:jc w:val="center"/>
    </w:pPr>
    <w:rPr>
      <w:rFonts w:eastAsiaTheme="minorHAnsi" w:cstheme="majorBidi"/>
      <w:lang w:val="en-GB"/>
    </w:rPr>
  </w:style>
  <w:style w:type="paragraph" w:customStyle="1" w:styleId="CaptionFigureShort">
    <w:name w:val="Caption Figure Short"/>
    <w:basedOn w:val="Caption"/>
    <w:next w:val="Normal"/>
    <w:autoRedefine/>
    <w:qFormat/>
    <w:rsid w:val="00A808EB"/>
    <w:pPr>
      <w:contextualSpacing/>
    </w:pPr>
  </w:style>
  <w:style w:type="paragraph" w:customStyle="1" w:styleId="CaptionFigureLong">
    <w:name w:val="Caption Figure Long"/>
    <w:basedOn w:val="Caption"/>
    <w:next w:val="Normal"/>
    <w:autoRedefine/>
    <w:qFormat/>
    <w:rsid w:val="00A808EB"/>
    <w:pPr>
      <w:spacing w:after="240"/>
      <w:jc w:val="both"/>
    </w:pPr>
  </w:style>
  <w:style w:type="paragraph" w:customStyle="1" w:styleId="Figures">
    <w:name w:val="Figures"/>
    <w:basedOn w:val="Normal"/>
    <w:next w:val="CaptionFigureShort"/>
    <w:autoRedefine/>
    <w:qFormat/>
    <w:rsid w:val="00A808EB"/>
    <w:pPr>
      <w:jc w:val="center"/>
    </w:pPr>
    <w:rPr>
      <w:rFonts w:eastAsiaTheme="minorHAnsi" w:cstheme="minorBidi"/>
      <w:noProof/>
      <w:szCs w:val="22"/>
      <w:lang w:val="en-GB"/>
    </w:rPr>
  </w:style>
  <w:style w:type="paragraph" w:customStyle="1" w:styleId="TOC1a">
    <w:name w:val="TOC 1a"/>
    <w:basedOn w:val="TOC1"/>
    <w:next w:val="Normal"/>
    <w:qFormat/>
    <w:rsid w:val="00A808EB"/>
    <w:rPr>
      <w:b w:val="0"/>
      <w:caps/>
    </w:rPr>
  </w:style>
  <w:style w:type="paragraph" w:customStyle="1" w:styleId="TOC1b">
    <w:name w:val="TOC 1b"/>
    <w:basedOn w:val="TOC1a"/>
    <w:qFormat/>
    <w:rsid w:val="00A808EB"/>
    <w:rPr>
      <w:b/>
    </w:rPr>
  </w:style>
  <w:style w:type="paragraph" w:customStyle="1" w:styleId="CopyrightPage">
    <w:name w:val="Copyright Page"/>
    <w:basedOn w:val="PreliminaryHeadings"/>
    <w:next w:val="Normal"/>
    <w:autoRedefine/>
    <w:qFormat/>
    <w:rsid w:val="00A808EB"/>
    <w:pPr>
      <w:spacing w:line="240" w:lineRule="auto"/>
    </w:pPr>
    <w:rPr>
      <w:sz w:val="32"/>
      <w:szCs w:val="24"/>
    </w:rPr>
  </w:style>
  <w:style w:type="character" w:styleId="CommentReference">
    <w:name w:val="annotation reference"/>
    <w:basedOn w:val="DefaultParagraphFont"/>
    <w:unhideWhenUsed/>
    <w:rsid w:val="00A808EB"/>
    <w:rPr>
      <w:sz w:val="16"/>
      <w:szCs w:val="16"/>
    </w:rPr>
  </w:style>
  <w:style w:type="paragraph" w:styleId="CommentText">
    <w:name w:val="annotation text"/>
    <w:basedOn w:val="Normal"/>
    <w:link w:val="CommentTextChar"/>
    <w:unhideWhenUsed/>
    <w:rsid w:val="00A808EB"/>
    <w:rPr>
      <w:rFonts w:eastAsiaTheme="minorHAnsi" w:cstheme="minorBidi"/>
      <w:sz w:val="20"/>
      <w:szCs w:val="20"/>
      <w:lang w:val="en-GB"/>
    </w:rPr>
  </w:style>
  <w:style w:type="character" w:customStyle="1" w:styleId="CommentTextChar">
    <w:name w:val="Comment Text Char"/>
    <w:basedOn w:val="DefaultParagraphFont"/>
    <w:link w:val="CommentText"/>
    <w:rsid w:val="00A808EB"/>
    <w:rPr>
      <w:rFonts w:eastAsiaTheme="minorHAnsi" w:cstheme="minorBidi"/>
      <w:lang w:val="en-GB"/>
    </w:rPr>
  </w:style>
  <w:style w:type="paragraph" w:styleId="CommentSubject">
    <w:name w:val="annotation subject"/>
    <w:basedOn w:val="CommentText"/>
    <w:next w:val="CommentText"/>
    <w:link w:val="CommentSubjectChar"/>
    <w:unhideWhenUsed/>
    <w:rsid w:val="00A808EB"/>
    <w:rPr>
      <w:b/>
      <w:bCs/>
    </w:rPr>
  </w:style>
  <w:style w:type="character" w:customStyle="1" w:styleId="CommentSubjectChar">
    <w:name w:val="Comment Subject Char"/>
    <w:basedOn w:val="CommentTextChar"/>
    <w:link w:val="CommentSubject"/>
    <w:rsid w:val="00A808EB"/>
    <w:rPr>
      <w:rFonts w:eastAsiaTheme="minorHAnsi" w:cstheme="minorBidi"/>
      <w:b/>
      <w:bCs/>
      <w:lang w:val="en-GB"/>
    </w:rPr>
  </w:style>
  <w:style w:type="paragraph" w:customStyle="1" w:styleId="CaptionTable">
    <w:name w:val="Caption Table"/>
    <w:basedOn w:val="CaptionFigureShort"/>
    <w:next w:val="Normal"/>
    <w:autoRedefine/>
    <w:qFormat/>
    <w:rsid w:val="00A808EB"/>
  </w:style>
  <w:style w:type="character" w:customStyle="1" w:styleId="a">
    <w:name w:val="a"/>
    <w:rsid w:val="00A808EB"/>
  </w:style>
  <w:style w:type="character" w:customStyle="1" w:styleId="apple-converted-space">
    <w:name w:val="apple-converted-space"/>
    <w:basedOn w:val="DefaultParagraphFont"/>
    <w:rsid w:val="00A808EB"/>
  </w:style>
  <w:style w:type="paragraph" w:customStyle="1" w:styleId="Pa3">
    <w:name w:val="Pa3"/>
    <w:basedOn w:val="Normal"/>
    <w:next w:val="Normal"/>
    <w:uiPriority w:val="99"/>
    <w:rsid w:val="00A808EB"/>
    <w:pPr>
      <w:autoSpaceDE w:val="0"/>
      <w:autoSpaceDN w:val="0"/>
      <w:adjustRightInd w:val="0"/>
      <w:spacing w:line="201" w:lineRule="atLeast"/>
    </w:pPr>
    <w:rPr>
      <w:lang w:val="en-GB"/>
    </w:rPr>
  </w:style>
  <w:style w:type="character" w:customStyle="1" w:styleId="A7">
    <w:name w:val="A7"/>
    <w:uiPriority w:val="99"/>
    <w:rsid w:val="00A808EB"/>
    <w:rPr>
      <w:color w:val="000000"/>
      <w:sz w:val="20"/>
      <w:szCs w:val="20"/>
    </w:rPr>
  </w:style>
  <w:style w:type="paragraph" w:customStyle="1" w:styleId="Pa13">
    <w:name w:val="Pa13"/>
    <w:basedOn w:val="Normal"/>
    <w:next w:val="Normal"/>
    <w:uiPriority w:val="99"/>
    <w:rsid w:val="00A808EB"/>
    <w:pPr>
      <w:autoSpaceDE w:val="0"/>
      <w:autoSpaceDN w:val="0"/>
      <w:adjustRightInd w:val="0"/>
      <w:spacing w:line="201" w:lineRule="atLeast"/>
    </w:pPr>
    <w:rPr>
      <w:lang w:val="en-GB"/>
    </w:rPr>
  </w:style>
  <w:style w:type="character" w:customStyle="1" w:styleId="A4">
    <w:name w:val="A4"/>
    <w:uiPriority w:val="99"/>
    <w:rsid w:val="00A808EB"/>
    <w:rPr>
      <w:i/>
      <w:iCs/>
      <w:color w:val="000000"/>
      <w:sz w:val="18"/>
      <w:szCs w:val="18"/>
    </w:rPr>
  </w:style>
  <w:style w:type="paragraph" w:customStyle="1" w:styleId="Default">
    <w:name w:val="Default"/>
    <w:rsid w:val="00A808EB"/>
    <w:pPr>
      <w:autoSpaceDE w:val="0"/>
      <w:autoSpaceDN w:val="0"/>
      <w:adjustRightInd w:val="0"/>
    </w:pPr>
    <w:rPr>
      <w:rFonts w:ascii="Arial" w:hAnsi="Arial" w:cs="Arial"/>
      <w:color w:val="000000"/>
      <w:sz w:val="24"/>
      <w:szCs w:val="24"/>
    </w:rPr>
  </w:style>
  <w:style w:type="character" w:customStyle="1" w:styleId="A2">
    <w:name w:val="A2"/>
    <w:uiPriority w:val="99"/>
    <w:rsid w:val="00A808EB"/>
    <w:rPr>
      <w:color w:val="000000"/>
      <w:sz w:val="15"/>
      <w:szCs w:val="15"/>
    </w:rPr>
  </w:style>
  <w:style w:type="character" w:customStyle="1" w:styleId="hit">
    <w:name w:val="hit"/>
    <w:basedOn w:val="DefaultParagraphFont"/>
    <w:rsid w:val="00A808EB"/>
  </w:style>
  <w:style w:type="character" w:customStyle="1" w:styleId="titleauthoretcsmall">
    <w:name w:val="titleauthoretc small"/>
    <w:basedOn w:val="DefaultParagraphFont"/>
    <w:rsid w:val="00A808EB"/>
  </w:style>
  <w:style w:type="character" w:customStyle="1" w:styleId="nfn">
    <w:name w:val="n fn"/>
    <w:basedOn w:val="DefaultParagraphFont"/>
    <w:rsid w:val="00A808EB"/>
  </w:style>
  <w:style w:type="character" w:customStyle="1" w:styleId="hit1">
    <w:name w:val="hit1"/>
    <w:rsid w:val="00A808EB"/>
    <w:rPr>
      <w:color w:val="000000"/>
      <w:shd w:val="clear" w:color="auto" w:fill="F4E99D"/>
    </w:rPr>
  </w:style>
  <w:style w:type="character" w:styleId="Strong">
    <w:name w:val="Strong"/>
    <w:uiPriority w:val="22"/>
    <w:qFormat/>
    <w:rsid w:val="00A808EB"/>
    <w:rPr>
      <w:b/>
      <w:bCs/>
    </w:rPr>
  </w:style>
  <w:style w:type="table" w:styleId="TableClassic1">
    <w:name w:val="Table Classic 1"/>
    <w:basedOn w:val="TableNormal"/>
    <w:rsid w:val="00A808EB"/>
    <w:rPr>
      <w:lang w:val="ms-MY" w:eastAsia="ms-MY"/>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08EB"/>
    <w:rPr>
      <w:lang w:val="ms-MY" w:eastAsia="ms-MY"/>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A808EB"/>
    <w:rPr>
      <w:lang w:val="ms-MY" w:eastAsia="ms-MY"/>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A808EB"/>
    <w:rPr>
      <w:lang w:val="ms-MY" w:eastAsia="ms-MY"/>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201">
    <w:name w:val="style201"/>
    <w:rsid w:val="00A808EB"/>
    <w:rPr>
      <w:sz w:val="21"/>
      <w:szCs w:val="21"/>
    </w:rPr>
  </w:style>
  <w:style w:type="character" w:customStyle="1" w:styleId="menutop">
    <w:name w:val="menu_top"/>
    <w:rsid w:val="00A808EB"/>
  </w:style>
  <w:style w:type="character" w:styleId="FollowedHyperlink">
    <w:name w:val="FollowedHyperlink"/>
    <w:rsid w:val="00A808EB"/>
    <w:rPr>
      <w:color w:val="800080"/>
      <w:u w:val="single"/>
    </w:rPr>
  </w:style>
  <w:style w:type="table" w:styleId="TableList3">
    <w:name w:val="Table List 3"/>
    <w:basedOn w:val="TableNormal"/>
    <w:rsid w:val="00A808EB"/>
    <w:rPr>
      <w:lang w:val="ms-MY" w:eastAsia="ms-MY"/>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808EB"/>
    <w:rPr>
      <w:lang w:val="ms-MY" w:eastAsia="ms-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2">
    <w:name w:val="Table List 2"/>
    <w:basedOn w:val="TableNormal"/>
    <w:rsid w:val="00A808EB"/>
    <w:rPr>
      <w:lang w:val="ms-MY" w:eastAsia="ms-MY"/>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A808EB"/>
    <w:rPr>
      <w:lang w:val="ms-MY" w:eastAsia="ms-MY"/>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A808EB"/>
    <w:rPr>
      <w:lang w:val="ms-MY" w:eastAsia="ms-MY"/>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A808EB"/>
    <w:rPr>
      <w:b/>
      <w:bCs/>
      <w:lang w:val="ms-MY" w:eastAsia="ms-MY"/>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3Deffects1">
    <w:name w:val="Table 3D effects 1"/>
    <w:basedOn w:val="TableNormal"/>
    <w:rsid w:val="00A808EB"/>
    <w:rPr>
      <w:lang w:val="ms-MY" w:eastAsia="ms-MY"/>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4">
    <w:name w:val="Table Classic 4"/>
    <w:basedOn w:val="TableNormal"/>
    <w:rsid w:val="00A808EB"/>
    <w:rPr>
      <w:lang w:val="ms-MY" w:eastAsia="ms-MY"/>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A808EB"/>
    <w:rPr>
      <w:color w:val="E36C0A"/>
      <w:lang w:val="ms-MY" w:eastAsia="ms-MY"/>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uiPriority w:val="61"/>
    <w:rsid w:val="00A808EB"/>
    <w:rPr>
      <w:lang w:val="ms-MY" w:eastAsia="ms-MY"/>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A808EB"/>
    <w:rPr>
      <w:lang w:val="ms-MY" w:eastAsia="ms-MY"/>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808EB"/>
    <w:rPr>
      <w:lang w:val="ms-MY" w:eastAsia="ms-MY"/>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60"/>
    <w:rsid w:val="00A808EB"/>
    <w:rPr>
      <w:color w:val="31849B"/>
      <w:lang w:val="ms-MY" w:eastAsia="ms-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updated-short-citation">
    <w:name w:val="updated-short-citation"/>
    <w:basedOn w:val="DefaultParagraphFont"/>
    <w:rsid w:val="00A808EB"/>
  </w:style>
  <w:style w:type="character" w:customStyle="1" w:styleId="titleauthoretc">
    <w:name w:val="titleauthoretc"/>
    <w:basedOn w:val="DefaultParagraphFont"/>
    <w:rsid w:val="00A808EB"/>
  </w:style>
  <w:style w:type="paragraph" w:styleId="Title">
    <w:name w:val="Title"/>
    <w:basedOn w:val="Normal"/>
    <w:next w:val="Normal"/>
    <w:link w:val="TitleChar"/>
    <w:qFormat/>
    <w:rsid w:val="00A808EB"/>
    <w:pPr>
      <w:spacing w:before="240" w:after="60"/>
      <w:jc w:val="center"/>
      <w:outlineLvl w:val="0"/>
    </w:pPr>
    <w:rPr>
      <w:rFonts w:ascii="Cambria" w:hAnsi="Cambria"/>
      <w:b/>
      <w:bCs/>
      <w:kern w:val="28"/>
      <w:sz w:val="32"/>
      <w:szCs w:val="32"/>
      <w:lang w:val="en-GB"/>
    </w:rPr>
  </w:style>
  <w:style w:type="character" w:customStyle="1" w:styleId="TitleChar">
    <w:name w:val="Title Char"/>
    <w:basedOn w:val="DefaultParagraphFont"/>
    <w:link w:val="Title"/>
    <w:rsid w:val="00A808EB"/>
    <w:rPr>
      <w:rFonts w:ascii="Cambria" w:hAnsi="Cambria"/>
      <w:b/>
      <w:bCs/>
      <w:kern w:val="28"/>
      <w:sz w:val="32"/>
      <w:szCs w:val="32"/>
      <w:lang w:val="en-GB"/>
    </w:rPr>
  </w:style>
  <w:style w:type="paragraph" w:styleId="Revision">
    <w:name w:val="Revision"/>
    <w:hidden/>
    <w:uiPriority w:val="99"/>
    <w:semiHidden/>
    <w:rsid w:val="00A808EB"/>
    <w:rPr>
      <w:sz w:val="24"/>
      <w:szCs w:val="24"/>
    </w:rPr>
  </w:style>
  <w:style w:type="character" w:styleId="PlaceholderText">
    <w:name w:val="Placeholder Text"/>
    <w:basedOn w:val="DefaultParagraphFont"/>
    <w:uiPriority w:val="99"/>
    <w:semiHidden/>
    <w:rsid w:val="00A808EB"/>
    <w:rPr>
      <w:color w:val="808080"/>
    </w:rPr>
  </w:style>
  <w:style w:type="paragraph" w:customStyle="1" w:styleId="PreliminaryArabicHeading">
    <w:name w:val="Preliminary Arabic Heading"/>
    <w:basedOn w:val="Normal"/>
    <w:link w:val="PreliminaryArabicHeadingChar"/>
    <w:qFormat/>
    <w:rsid w:val="00A808EB"/>
    <w:pPr>
      <w:bidi/>
      <w:jc w:val="center"/>
    </w:pPr>
    <w:rPr>
      <w:rFonts w:ascii="Traditional Arabic" w:hAnsi="Traditional Arabic" w:cs="Traditional Arabic"/>
      <w:b/>
      <w:bCs/>
      <w:sz w:val="40"/>
      <w:szCs w:val="40"/>
      <w:lang w:val="en-GB"/>
    </w:rPr>
  </w:style>
  <w:style w:type="character" w:customStyle="1" w:styleId="PreliminaryArabicHeadingChar">
    <w:name w:val="Preliminary Arabic Heading Char"/>
    <w:basedOn w:val="DefaultParagraphFont"/>
    <w:link w:val="PreliminaryArabicHeading"/>
    <w:rsid w:val="00A808EB"/>
    <w:rPr>
      <w:rFonts w:ascii="Traditional Arabic" w:hAnsi="Traditional Arabic" w:cs="Traditional Arabic"/>
      <w:b/>
      <w:bCs/>
      <w:sz w:val="40"/>
      <w:szCs w:val="40"/>
      <w:lang w:val="en-GB"/>
    </w:rPr>
  </w:style>
  <w:style w:type="character" w:styleId="FootnoteReference">
    <w:name w:val="footnote reference"/>
    <w:uiPriority w:val="99"/>
    <w:semiHidden/>
    <w:unhideWhenUsed/>
    <w:rsid w:val="00A808EB"/>
    <w:rPr>
      <w:vertAlign w:val="superscript"/>
    </w:rPr>
  </w:style>
  <w:style w:type="paragraph" w:styleId="TOC6">
    <w:name w:val="toc 6"/>
    <w:basedOn w:val="Normal"/>
    <w:next w:val="Normal"/>
    <w:autoRedefine/>
    <w:uiPriority w:val="39"/>
    <w:unhideWhenUsed/>
    <w:rsid w:val="00A808EB"/>
    <w:pPr>
      <w:spacing w:after="100" w:line="276" w:lineRule="auto"/>
      <w:ind w:left="1100"/>
    </w:pPr>
    <w:rPr>
      <w:rFonts w:asciiTheme="minorHAnsi" w:eastAsiaTheme="minorEastAsia" w:hAnsiTheme="minorHAnsi" w:cstheme="minorBidi"/>
      <w:sz w:val="22"/>
      <w:szCs w:val="28"/>
      <w:lang w:val="en-GB" w:bidi="bn-BD"/>
    </w:rPr>
  </w:style>
  <w:style w:type="paragraph" w:styleId="TOC7">
    <w:name w:val="toc 7"/>
    <w:basedOn w:val="Normal"/>
    <w:next w:val="Normal"/>
    <w:autoRedefine/>
    <w:uiPriority w:val="39"/>
    <w:unhideWhenUsed/>
    <w:rsid w:val="00A808EB"/>
    <w:pPr>
      <w:spacing w:after="100" w:line="276" w:lineRule="auto"/>
      <w:ind w:left="1320"/>
    </w:pPr>
    <w:rPr>
      <w:rFonts w:asciiTheme="minorHAnsi" w:eastAsiaTheme="minorEastAsia" w:hAnsiTheme="minorHAnsi" w:cstheme="minorBidi"/>
      <w:sz w:val="22"/>
      <w:szCs w:val="28"/>
      <w:lang w:val="en-GB" w:bidi="bn-BD"/>
    </w:rPr>
  </w:style>
  <w:style w:type="paragraph" w:styleId="TOC8">
    <w:name w:val="toc 8"/>
    <w:basedOn w:val="Normal"/>
    <w:next w:val="Normal"/>
    <w:autoRedefine/>
    <w:uiPriority w:val="39"/>
    <w:unhideWhenUsed/>
    <w:rsid w:val="00A808EB"/>
    <w:pPr>
      <w:spacing w:after="100" w:line="276" w:lineRule="auto"/>
      <w:ind w:left="1540"/>
    </w:pPr>
    <w:rPr>
      <w:rFonts w:asciiTheme="minorHAnsi" w:eastAsiaTheme="minorEastAsia" w:hAnsiTheme="minorHAnsi" w:cstheme="minorBidi"/>
      <w:sz w:val="22"/>
      <w:szCs w:val="28"/>
      <w:lang w:val="en-GB" w:bidi="bn-BD"/>
    </w:rPr>
  </w:style>
  <w:style w:type="paragraph" w:styleId="TOC9">
    <w:name w:val="toc 9"/>
    <w:basedOn w:val="Normal"/>
    <w:next w:val="Normal"/>
    <w:autoRedefine/>
    <w:uiPriority w:val="39"/>
    <w:unhideWhenUsed/>
    <w:rsid w:val="00A808EB"/>
    <w:pPr>
      <w:spacing w:after="100" w:line="276" w:lineRule="auto"/>
      <w:ind w:left="1760"/>
    </w:pPr>
    <w:rPr>
      <w:rFonts w:asciiTheme="minorHAnsi" w:eastAsiaTheme="minorEastAsia" w:hAnsiTheme="minorHAnsi" w:cstheme="minorBidi"/>
      <w:sz w:val="22"/>
      <w:szCs w:val="28"/>
      <w:lang w:val="en-GB" w:bidi="bn-BD"/>
    </w:rPr>
  </w:style>
  <w:style w:type="table" w:customStyle="1" w:styleId="TableGrid1">
    <w:name w:val="Table Grid1"/>
    <w:basedOn w:val="TableNormal"/>
    <w:next w:val="TableGrid"/>
    <w:uiPriority w:val="39"/>
    <w:rsid w:val="00A80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808EB"/>
    <w:pPr>
      <w:spacing w:after="240"/>
      <w:ind w:left="680" w:right="680"/>
      <w:jc w:val="both"/>
    </w:pPr>
    <w:rPr>
      <w:rFonts w:eastAsiaTheme="minorHAnsi" w:cstheme="minorBidi"/>
      <w:iCs/>
      <w:color w:val="000000" w:themeColor="text1"/>
      <w:szCs w:val="22"/>
      <w:lang w:val="en-GB"/>
    </w:rPr>
  </w:style>
  <w:style w:type="character" w:customStyle="1" w:styleId="QuoteChar">
    <w:name w:val="Quote Char"/>
    <w:basedOn w:val="DefaultParagraphFont"/>
    <w:link w:val="Quote"/>
    <w:uiPriority w:val="29"/>
    <w:rsid w:val="00A808EB"/>
    <w:rPr>
      <w:rFonts w:eastAsiaTheme="minorHAnsi" w:cstheme="minorBidi"/>
      <w:iCs/>
      <w:color w:val="000000" w:themeColor="text1"/>
      <w:sz w:val="24"/>
      <w:szCs w:val="22"/>
      <w:lang w:val="en-GB"/>
    </w:rPr>
  </w:style>
  <w:style w:type="paragraph" w:customStyle="1" w:styleId="QuoteArabic">
    <w:name w:val="Quote Arabic"/>
    <w:basedOn w:val="Normal"/>
    <w:qFormat/>
    <w:rsid w:val="00A808EB"/>
    <w:pPr>
      <w:bidi/>
      <w:spacing w:after="240"/>
      <w:ind w:left="680" w:right="680"/>
      <w:jc w:val="both"/>
    </w:pPr>
    <w:rPr>
      <w:rFonts w:eastAsiaTheme="minorHAnsi" w:cs="Traditional Arabic"/>
      <w:szCs w:val="32"/>
      <w:lang w:val="en-GB"/>
    </w:rPr>
  </w:style>
  <w:style w:type="paragraph" w:styleId="BodyText">
    <w:name w:val="Body Text"/>
    <w:basedOn w:val="Normal"/>
    <w:link w:val="BodyTextChar"/>
    <w:rsid w:val="00A808EB"/>
    <w:pPr>
      <w:jc w:val="both"/>
    </w:pPr>
    <w:rPr>
      <w:rFonts w:ascii="Arial" w:hAnsi="Arial"/>
      <w:b/>
      <w:caps/>
      <w:lang w:val="en-GB"/>
    </w:rPr>
  </w:style>
  <w:style w:type="character" w:customStyle="1" w:styleId="BodyTextChar">
    <w:name w:val="Body Text Char"/>
    <w:basedOn w:val="DefaultParagraphFont"/>
    <w:link w:val="BodyText"/>
    <w:rsid w:val="00A808EB"/>
    <w:rPr>
      <w:rFonts w:ascii="Arial" w:hAnsi="Arial"/>
      <w:b/>
      <w:caps/>
      <w:sz w:val="24"/>
      <w:szCs w:val="24"/>
      <w:lang w:val="en-GB"/>
    </w:rPr>
  </w:style>
  <w:style w:type="paragraph" w:customStyle="1" w:styleId="ThesisAbstractTexts">
    <w:name w:val="Thesis Abstract Texts"/>
    <w:basedOn w:val="Normal"/>
    <w:next w:val="Normal"/>
    <w:qFormat/>
    <w:rsid w:val="00A808EB"/>
    <w:pPr>
      <w:jc w:val="both"/>
    </w:pPr>
    <w:rPr>
      <w:lang w:val="en-GB"/>
    </w:rPr>
  </w:style>
  <w:style w:type="paragraph" w:customStyle="1" w:styleId="CopyrightIIUM">
    <w:name w:val="Copyright IIUM"/>
    <w:basedOn w:val="Normal"/>
    <w:next w:val="Normal"/>
    <w:qFormat/>
    <w:rsid w:val="00A808EB"/>
    <w:pPr>
      <w:keepNext/>
      <w:keepLines/>
      <w:contextualSpacing/>
      <w:jc w:val="center"/>
    </w:pPr>
    <w:rPr>
      <w:caps/>
      <w:sz w:val="32"/>
      <w:lang w:val="en-GB"/>
    </w:rPr>
  </w:style>
  <w:style w:type="paragraph" w:customStyle="1" w:styleId="2singlespace">
    <w:name w:val="2 single space"/>
    <w:qFormat/>
    <w:rsid w:val="00A808EB"/>
    <w:pPr>
      <w:contextualSpacing/>
    </w:pPr>
    <w:rPr>
      <w:sz w:val="24"/>
      <w:szCs w:val="24"/>
    </w:rPr>
  </w:style>
  <w:style w:type="paragraph" w:customStyle="1" w:styleId="Frontmatterhidden">
    <w:name w:val="Frontmatter (hidden)"/>
    <w:basedOn w:val="Normal"/>
    <w:qFormat/>
    <w:rsid w:val="00A808EB"/>
    <w:pPr>
      <w:keepNext/>
      <w:keepLines/>
      <w:suppressAutoHyphens/>
      <w:contextualSpacing/>
      <w:jc w:val="center"/>
      <w:outlineLvl w:val="0"/>
    </w:pPr>
    <w:rPr>
      <w:rFonts w:cs="Arial"/>
      <w:b/>
      <w:bCs/>
      <w:caps/>
      <w:vanish/>
      <w:kern w:val="32"/>
      <w:sz w:val="28"/>
      <w:szCs w:val="32"/>
      <w:lang w:val="en-GB"/>
    </w:rPr>
  </w:style>
  <w:style w:type="paragraph" w:customStyle="1" w:styleId="CopyrightNumbered">
    <w:name w:val="Copyright Numbered"/>
    <w:basedOn w:val="Normal"/>
    <w:qFormat/>
    <w:rsid w:val="00A808EB"/>
    <w:pPr>
      <w:keepNext/>
      <w:tabs>
        <w:tab w:val="left" w:pos="1814"/>
      </w:tabs>
      <w:suppressAutoHyphens/>
      <w:ind w:left="1814" w:hanging="1134"/>
      <w:contextualSpacing/>
    </w:pPr>
    <w:rPr>
      <w:lang w:val="en-GB"/>
    </w:rPr>
  </w:style>
  <w:style w:type="paragraph" w:customStyle="1" w:styleId="Singlespace">
    <w:name w:val="Single space"/>
    <w:basedOn w:val="Normal"/>
    <w:rsid w:val="00A808EB"/>
    <w:rPr>
      <w:szCs w:val="20"/>
      <w:lang w:val="en-GB"/>
    </w:rPr>
  </w:style>
  <w:style w:type="numbering" w:customStyle="1" w:styleId="NoList1">
    <w:name w:val="No List1"/>
    <w:next w:val="NoList"/>
    <w:uiPriority w:val="99"/>
    <w:semiHidden/>
    <w:unhideWhenUsed/>
    <w:rsid w:val="00A808EB"/>
  </w:style>
  <w:style w:type="paragraph" w:customStyle="1" w:styleId="yiv9319122570msonormal">
    <w:name w:val="yiv9319122570msonormal"/>
    <w:basedOn w:val="Normal"/>
    <w:rsid w:val="00A808EB"/>
    <w:pPr>
      <w:spacing w:before="100" w:beforeAutospacing="1" w:after="100" w:afterAutospacing="1"/>
    </w:pPr>
    <w:rPr>
      <w:lang w:val="en-MY" w:eastAsia="en-MY"/>
    </w:rPr>
  </w:style>
  <w:style w:type="paragraph" w:customStyle="1" w:styleId="yiv0705873307msonormal">
    <w:name w:val="yiv0705873307msonormal"/>
    <w:basedOn w:val="Normal"/>
    <w:rsid w:val="00A808EB"/>
    <w:pPr>
      <w:spacing w:before="100" w:beforeAutospacing="1" w:after="100" w:afterAutospacing="1"/>
    </w:pPr>
    <w:rPr>
      <w:lang w:val="en-MY" w:eastAsia="en-MY"/>
    </w:rPr>
  </w:style>
  <w:style w:type="character" w:customStyle="1" w:styleId="EndNoteBibliographyTitleChar">
    <w:name w:val="EndNote Bibliography Title Char"/>
    <w:basedOn w:val="DefaultParagraphFont"/>
    <w:link w:val="EndNoteBibliographyTitle"/>
    <w:locked/>
    <w:rsid w:val="00A808EB"/>
    <w:rPr>
      <w:rFonts w:ascii="Calibri" w:hAnsi="Calibri" w:cs="Calibri"/>
      <w:noProof/>
    </w:rPr>
  </w:style>
  <w:style w:type="paragraph" w:customStyle="1" w:styleId="EndNoteBibliographyTitle">
    <w:name w:val="EndNote Bibliography Title"/>
    <w:basedOn w:val="Normal"/>
    <w:link w:val="EndNoteBibliographyTitleChar"/>
    <w:rsid w:val="00A808EB"/>
    <w:pPr>
      <w:spacing w:line="276" w:lineRule="auto"/>
      <w:jc w:val="center"/>
    </w:pPr>
    <w:rPr>
      <w:rFonts w:ascii="Calibri" w:hAnsi="Calibri" w:cs="Calibri"/>
      <w:noProof/>
      <w:sz w:val="20"/>
      <w:szCs w:val="20"/>
    </w:rPr>
  </w:style>
  <w:style w:type="character" w:customStyle="1" w:styleId="EndNoteBibliographyChar">
    <w:name w:val="EndNote Bibliography Char"/>
    <w:basedOn w:val="DefaultParagraphFont"/>
    <w:link w:val="EndNoteBibliography"/>
    <w:locked/>
    <w:rsid w:val="00A808EB"/>
    <w:rPr>
      <w:rFonts w:ascii="Calibri" w:hAnsi="Calibri" w:cs="Calibri"/>
      <w:noProof/>
    </w:rPr>
  </w:style>
  <w:style w:type="paragraph" w:customStyle="1" w:styleId="EndNoteBibliography">
    <w:name w:val="EndNote Bibliography"/>
    <w:basedOn w:val="Normal"/>
    <w:link w:val="EndNoteBibliographyChar"/>
    <w:rsid w:val="00A808EB"/>
    <w:pPr>
      <w:spacing w:after="200"/>
      <w:jc w:val="both"/>
    </w:pPr>
    <w:rPr>
      <w:rFonts w:ascii="Calibri" w:hAnsi="Calibri" w:cs="Calibri"/>
      <w:noProof/>
      <w:sz w:val="20"/>
      <w:szCs w:val="20"/>
    </w:rPr>
  </w:style>
  <w:style w:type="character" w:customStyle="1" w:styleId="StylebChar">
    <w:name w:val="Styleb Char"/>
    <w:basedOn w:val="DefaultParagraphFont"/>
    <w:link w:val="Styleb"/>
    <w:locked/>
    <w:rsid w:val="00A808EB"/>
    <w:rPr>
      <w:sz w:val="24"/>
      <w:szCs w:val="24"/>
    </w:rPr>
  </w:style>
  <w:style w:type="paragraph" w:customStyle="1" w:styleId="Styleb">
    <w:name w:val="Styleb"/>
    <w:basedOn w:val="Normal"/>
    <w:link w:val="StylebChar"/>
    <w:autoRedefine/>
    <w:qFormat/>
    <w:rsid w:val="00A808EB"/>
    <w:pPr>
      <w:spacing w:after="200" w:line="480" w:lineRule="auto"/>
      <w:ind w:firstLine="720"/>
      <w:jc w:val="both"/>
    </w:pPr>
  </w:style>
  <w:style w:type="character" w:customStyle="1" w:styleId="shorttext">
    <w:name w:val="short_text"/>
    <w:basedOn w:val="DefaultParagraphFont"/>
    <w:rsid w:val="00A808EB"/>
  </w:style>
  <w:style w:type="character" w:customStyle="1" w:styleId="hps">
    <w:name w:val="hps"/>
    <w:basedOn w:val="DefaultParagraphFont"/>
    <w:rsid w:val="00A808EB"/>
  </w:style>
  <w:style w:type="character" w:customStyle="1" w:styleId="personname">
    <w:name w:val="person_name"/>
    <w:basedOn w:val="DefaultParagraphFont"/>
    <w:rsid w:val="00A808EB"/>
  </w:style>
  <w:style w:type="character" w:customStyle="1" w:styleId="UnresolvedMention1">
    <w:name w:val="Unresolved Mention1"/>
    <w:basedOn w:val="DefaultParagraphFont"/>
    <w:uiPriority w:val="99"/>
    <w:semiHidden/>
    <w:unhideWhenUsed/>
    <w:rsid w:val="00A808EB"/>
    <w:rPr>
      <w:color w:val="605E5C"/>
      <w:shd w:val="clear" w:color="auto" w:fill="E1DFDD"/>
    </w:rPr>
  </w:style>
  <w:style w:type="character" w:customStyle="1" w:styleId="glossary">
    <w:name w:val="glossary"/>
    <w:basedOn w:val="DefaultParagraphFont"/>
    <w:rsid w:val="00A808EB"/>
  </w:style>
  <w:style w:type="paragraph" w:customStyle="1" w:styleId="share-item">
    <w:name w:val="share-item"/>
    <w:basedOn w:val="Normal"/>
    <w:rsid w:val="00A808EB"/>
    <w:pPr>
      <w:spacing w:before="100" w:beforeAutospacing="1" w:after="100" w:afterAutospacing="1"/>
    </w:pPr>
    <w:rPr>
      <w:lang w:val="en-MY" w:eastAsia="en-MY"/>
    </w:rPr>
  </w:style>
  <w:style w:type="character" w:customStyle="1" w:styleId="intentdoi">
    <w:name w:val="intent_doi"/>
    <w:basedOn w:val="DefaultParagraphFont"/>
    <w:rsid w:val="00A8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270055">
      <w:bodyDiv w:val="1"/>
      <w:marLeft w:val="0"/>
      <w:marRight w:val="0"/>
      <w:marTop w:val="0"/>
      <w:marBottom w:val="0"/>
      <w:divBdr>
        <w:top w:val="none" w:sz="0" w:space="0" w:color="auto"/>
        <w:left w:val="none" w:sz="0" w:space="0" w:color="auto"/>
        <w:bottom w:val="none" w:sz="0" w:space="0" w:color="auto"/>
        <w:right w:val="none" w:sz="0" w:space="0" w:color="auto"/>
      </w:divBdr>
    </w:div>
    <w:div w:id="1442189124">
      <w:bodyDiv w:val="1"/>
      <w:marLeft w:val="0"/>
      <w:marRight w:val="0"/>
      <w:marTop w:val="0"/>
      <w:marBottom w:val="0"/>
      <w:divBdr>
        <w:top w:val="none" w:sz="0" w:space="0" w:color="auto"/>
        <w:left w:val="none" w:sz="0" w:space="0" w:color="auto"/>
        <w:bottom w:val="none" w:sz="0" w:space="0" w:color="auto"/>
        <w:right w:val="none" w:sz="0" w:space="0" w:color="auto"/>
      </w:divBdr>
    </w:div>
    <w:div w:id="20467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IC-06-2019-0147" TargetMode="External"/><Relationship Id="rId13" Type="http://schemas.openxmlformats.org/officeDocument/2006/relationships/hyperlink" Target="https://doi.org/10.1108/JIC-05-2019-00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JIC-05-2019-00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i.gov.my/index.php/pages/view/%20industry4W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vestopedia.com/ask/answers/020915/which-types-industries-have-largest-capital-expenditures.asp" TargetMode="External"/><Relationship Id="rId4" Type="http://schemas.openxmlformats.org/officeDocument/2006/relationships/settings" Target="settings.xml"/><Relationship Id="rId9" Type="http://schemas.openxmlformats.org/officeDocument/2006/relationships/hyperlink" Target="http://ssr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A7AD-734F-465C-A336-82B6F721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5394</Words>
  <Characters>30749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IADIS Conference Template</vt:lpstr>
    </vt:vector>
  </TitlesOfParts>
  <Company>.</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IADIS Conference Template</dc:title>
  <dc:subject/>
  <dc:creator>.</dc:creator>
  <cp:keywords/>
  <cp:lastModifiedBy>Mohamad bin Jais</cp:lastModifiedBy>
  <cp:revision>2</cp:revision>
  <cp:lastPrinted>2019-11-11T12:34:00Z</cp:lastPrinted>
  <dcterms:created xsi:type="dcterms:W3CDTF">2020-12-30T05:34:00Z</dcterms:created>
  <dcterms:modified xsi:type="dcterms:W3CDTF">2020-12-30T05:34:00Z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87743bc8-b657-30b5-a19c-dddae49e6a6d</vt:lpwstr>
  </property>
  <property fmtid="{D5CDD505-2E9C-101B-9397-08002B2CF9AE}" pid="24" name="Mendeley Citation Style_1">
    <vt:lpwstr>http://www.zotero.org/styles/apa</vt:lpwstr>
  </property>
</Properties>
</file>