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E3F0" w14:textId="77777777" w:rsidR="00B53720" w:rsidRPr="00BA63BA" w:rsidRDefault="00B53720" w:rsidP="00991BDA">
      <w:pPr>
        <w:spacing w:after="0" w:line="240" w:lineRule="auto"/>
        <w:jc w:val="both"/>
        <w:rPr>
          <w:rStyle w:val="Strong"/>
          <w:rFonts w:ascii="Times New Roman" w:hAnsi="Times New Roman" w:cs="Times New Roman"/>
          <w:b w:val="0"/>
          <w:bCs w:val="0"/>
          <w:sz w:val="24"/>
          <w:szCs w:val="24"/>
        </w:rPr>
      </w:pPr>
    </w:p>
    <w:p w14:paraId="7A7C6A0A" w14:textId="77777777" w:rsidR="00B53720" w:rsidRPr="00BA63BA" w:rsidRDefault="00541344" w:rsidP="00991BDA">
      <w:pPr>
        <w:spacing w:after="0" w:line="240" w:lineRule="auto"/>
        <w:jc w:val="center"/>
        <w:rPr>
          <w:rStyle w:val="Strong"/>
          <w:rFonts w:ascii="Times New Roman" w:hAnsi="Times New Roman" w:cs="Times New Roman"/>
          <w:b w:val="0"/>
          <w:bCs w:val="0"/>
          <w:sz w:val="24"/>
          <w:szCs w:val="24"/>
        </w:rPr>
      </w:pPr>
      <w:r w:rsidRPr="00BA63BA">
        <w:rPr>
          <w:rStyle w:val="Strong"/>
          <w:rFonts w:ascii="Times New Roman" w:hAnsi="Times New Roman" w:cs="Times New Roman"/>
          <w:b w:val="0"/>
          <w:bCs w:val="0"/>
          <w:sz w:val="24"/>
          <w:szCs w:val="24"/>
        </w:rPr>
        <w:t>Disclosure Level and Cost Equity: A Theoretical Framework</w:t>
      </w:r>
    </w:p>
    <w:p w14:paraId="34555892" w14:textId="77777777" w:rsidR="009B7DF8" w:rsidRDefault="009B7DF8" w:rsidP="00991BDA">
      <w:pPr>
        <w:spacing w:after="0" w:line="240" w:lineRule="auto"/>
        <w:jc w:val="center"/>
        <w:rPr>
          <w:rFonts w:ascii="Times New Roman" w:eastAsia="Calibri" w:hAnsi="Times New Roman" w:cs="Times New Roman"/>
          <w:sz w:val="24"/>
          <w:szCs w:val="24"/>
          <w:lang w:val="en-GB"/>
        </w:rPr>
      </w:pPr>
    </w:p>
    <w:p w14:paraId="2BCCBE3A" w14:textId="52A746A4" w:rsidR="00642365" w:rsidRDefault="00642365" w:rsidP="00991BDA">
      <w:pPr>
        <w:spacing w:after="0" w:line="240" w:lineRule="auto"/>
        <w:jc w:val="center"/>
        <w:rPr>
          <w:rFonts w:ascii="Times New Roman" w:eastAsia="Calibri" w:hAnsi="Times New Roman" w:cs="Times New Roman"/>
          <w:sz w:val="24"/>
          <w:szCs w:val="24"/>
          <w:vertAlign w:val="superscript"/>
          <w:lang w:val="en-GB"/>
        </w:rPr>
      </w:pPr>
      <w:proofErr w:type="spellStart"/>
      <w:r w:rsidRPr="00BA63BA">
        <w:rPr>
          <w:rFonts w:ascii="Times New Roman" w:eastAsia="Calibri" w:hAnsi="Times New Roman" w:cs="Times New Roman"/>
          <w:sz w:val="24"/>
          <w:szCs w:val="24"/>
          <w:lang w:val="en-GB"/>
        </w:rPr>
        <w:t>Mohd</w:t>
      </w:r>
      <w:proofErr w:type="spellEnd"/>
      <w:r w:rsidRPr="00BA63BA">
        <w:rPr>
          <w:rFonts w:ascii="Times New Roman" w:eastAsia="Calibri" w:hAnsi="Times New Roman" w:cs="Times New Roman"/>
          <w:sz w:val="24"/>
          <w:szCs w:val="24"/>
          <w:lang w:val="en-GB"/>
        </w:rPr>
        <w:t xml:space="preserve"> </w:t>
      </w:r>
      <w:proofErr w:type="spellStart"/>
      <w:r w:rsidRPr="00BA63BA">
        <w:rPr>
          <w:rFonts w:ascii="Times New Roman" w:eastAsia="Calibri" w:hAnsi="Times New Roman" w:cs="Times New Roman"/>
          <w:sz w:val="24"/>
          <w:szCs w:val="24"/>
          <w:lang w:val="en-GB"/>
        </w:rPr>
        <w:t>Waliuddin</w:t>
      </w:r>
      <w:proofErr w:type="spellEnd"/>
      <w:r w:rsidRPr="00BA63BA">
        <w:rPr>
          <w:rFonts w:ascii="Times New Roman" w:eastAsia="Calibri" w:hAnsi="Times New Roman" w:cs="Times New Roman"/>
          <w:sz w:val="24"/>
          <w:szCs w:val="24"/>
          <w:lang w:val="en-GB"/>
        </w:rPr>
        <w:t xml:space="preserve"> </w:t>
      </w:r>
      <w:proofErr w:type="spellStart"/>
      <w:r w:rsidRPr="00BA63BA">
        <w:rPr>
          <w:rFonts w:ascii="Times New Roman" w:eastAsia="Calibri" w:hAnsi="Times New Roman" w:cs="Times New Roman"/>
          <w:sz w:val="24"/>
          <w:szCs w:val="24"/>
          <w:lang w:val="en-GB"/>
        </w:rPr>
        <w:t>Mohd</w:t>
      </w:r>
      <w:proofErr w:type="spellEnd"/>
      <w:r w:rsidRPr="00BA63BA">
        <w:rPr>
          <w:rFonts w:ascii="Times New Roman" w:eastAsia="Calibri" w:hAnsi="Times New Roman" w:cs="Times New Roman"/>
          <w:sz w:val="24"/>
          <w:szCs w:val="24"/>
          <w:lang w:val="en-GB"/>
        </w:rPr>
        <w:t xml:space="preserve"> Razali*</w:t>
      </w:r>
      <w:r w:rsidRPr="00BA63BA">
        <w:rPr>
          <w:rFonts w:ascii="Times New Roman" w:eastAsia="Calibri" w:hAnsi="Times New Roman" w:cs="Times New Roman"/>
          <w:sz w:val="24"/>
          <w:szCs w:val="24"/>
          <w:vertAlign w:val="superscript"/>
          <w:lang w:val="en-GB"/>
        </w:rPr>
        <w:t>1,2&amp;3</w:t>
      </w:r>
    </w:p>
    <w:p w14:paraId="764DDF03" w14:textId="77777777" w:rsidR="00B45D52" w:rsidRPr="00BA63BA" w:rsidRDefault="00B45D52" w:rsidP="00991BDA">
      <w:pPr>
        <w:spacing w:after="0" w:line="240" w:lineRule="auto"/>
        <w:jc w:val="center"/>
        <w:rPr>
          <w:rFonts w:ascii="Times New Roman" w:eastAsia="Calibri" w:hAnsi="Times New Roman" w:cs="Times New Roman"/>
          <w:sz w:val="24"/>
          <w:szCs w:val="24"/>
          <w:lang w:val="en-GB"/>
        </w:rPr>
      </w:pPr>
    </w:p>
    <w:p w14:paraId="6F1953C2" w14:textId="64F691FF" w:rsidR="00642365" w:rsidRPr="00BA63BA" w:rsidRDefault="00642365" w:rsidP="00991BDA">
      <w:pPr>
        <w:widowControl w:val="0"/>
        <w:autoSpaceDE w:val="0"/>
        <w:autoSpaceDN w:val="0"/>
        <w:spacing w:after="0" w:line="240" w:lineRule="auto"/>
        <w:contextualSpacing/>
        <w:jc w:val="center"/>
        <w:rPr>
          <w:rFonts w:ascii="Times New Roman" w:hAnsi="Times New Roman" w:cs="Times New Roman"/>
          <w:sz w:val="24"/>
          <w:szCs w:val="24"/>
        </w:rPr>
      </w:pPr>
      <w:r w:rsidRPr="00BA63BA">
        <w:rPr>
          <w:rFonts w:ascii="Times New Roman" w:hAnsi="Times New Roman" w:cs="Times New Roman"/>
          <w:sz w:val="24"/>
          <w:szCs w:val="24"/>
          <w:vertAlign w:val="superscript"/>
        </w:rPr>
        <w:t>1</w:t>
      </w:r>
      <w:r w:rsidRPr="00BA63BA">
        <w:rPr>
          <w:rFonts w:ascii="Times New Roman" w:hAnsi="Times New Roman" w:cs="Times New Roman"/>
          <w:sz w:val="24"/>
          <w:szCs w:val="24"/>
        </w:rPr>
        <w:t xml:space="preserve">Faculty Economics &amp; Business, </w:t>
      </w:r>
      <w:proofErr w:type="spellStart"/>
      <w:r w:rsidRPr="00BA63BA">
        <w:rPr>
          <w:rFonts w:ascii="Times New Roman" w:hAnsi="Times New Roman" w:cs="Times New Roman"/>
          <w:sz w:val="24"/>
          <w:szCs w:val="24"/>
        </w:rPr>
        <w:t>Universiti</w:t>
      </w:r>
      <w:proofErr w:type="spellEnd"/>
      <w:r w:rsidRPr="00BA63BA">
        <w:rPr>
          <w:rFonts w:ascii="Times New Roman" w:hAnsi="Times New Roman" w:cs="Times New Roman"/>
          <w:sz w:val="24"/>
          <w:szCs w:val="24"/>
        </w:rPr>
        <w:t xml:space="preserve"> Malaysia Sarawak (UNIMAS), </w:t>
      </w:r>
    </w:p>
    <w:p w14:paraId="39AF302A" w14:textId="6F6085B6" w:rsidR="00642365" w:rsidRPr="00BA63BA" w:rsidRDefault="00642365" w:rsidP="00991BDA">
      <w:pPr>
        <w:widowControl w:val="0"/>
        <w:autoSpaceDE w:val="0"/>
        <w:autoSpaceDN w:val="0"/>
        <w:spacing w:after="0" w:line="240" w:lineRule="auto"/>
        <w:contextualSpacing/>
        <w:jc w:val="center"/>
        <w:rPr>
          <w:rFonts w:ascii="Times New Roman" w:hAnsi="Times New Roman" w:cs="Times New Roman"/>
          <w:sz w:val="24"/>
          <w:szCs w:val="24"/>
        </w:rPr>
      </w:pPr>
      <w:r w:rsidRPr="00BA63BA">
        <w:rPr>
          <w:rFonts w:ascii="Times New Roman" w:hAnsi="Times New Roman" w:cs="Times New Roman"/>
          <w:sz w:val="24"/>
          <w:szCs w:val="24"/>
          <w:vertAlign w:val="superscript"/>
        </w:rPr>
        <w:t>2</w:t>
      </w:r>
      <w:r w:rsidRPr="00BA63BA">
        <w:rPr>
          <w:rFonts w:ascii="Times New Roman" w:hAnsi="Times New Roman" w:cs="Times New Roman"/>
          <w:sz w:val="24"/>
          <w:szCs w:val="24"/>
        </w:rPr>
        <w:t xml:space="preserve">Faculty of Economics &amp; Management, </w:t>
      </w:r>
      <w:proofErr w:type="spellStart"/>
      <w:r w:rsidRPr="00BA63BA">
        <w:rPr>
          <w:rFonts w:ascii="Times New Roman" w:hAnsi="Times New Roman" w:cs="Times New Roman"/>
          <w:sz w:val="24"/>
          <w:szCs w:val="24"/>
        </w:rPr>
        <w:t>Universiti</w:t>
      </w:r>
      <w:proofErr w:type="spellEnd"/>
      <w:r w:rsidRPr="00BA63BA">
        <w:rPr>
          <w:rFonts w:ascii="Times New Roman" w:hAnsi="Times New Roman" w:cs="Times New Roman"/>
          <w:sz w:val="24"/>
          <w:szCs w:val="24"/>
        </w:rPr>
        <w:t xml:space="preserve"> </w:t>
      </w:r>
      <w:proofErr w:type="spellStart"/>
      <w:r w:rsidRPr="00BA63BA">
        <w:rPr>
          <w:rFonts w:ascii="Times New Roman" w:hAnsi="Times New Roman" w:cs="Times New Roman"/>
          <w:sz w:val="24"/>
          <w:szCs w:val="24"/>
        </w:rPr>
        <w:t>Kebangsaan</w:t>
      </w:r>
      <w:proofErr w:type="spellEnd"/>
      <w:r w:rsidRPr="00BA63BA">
        <w:rPr>
          <w:rFonts w:ascii="Times New Roman" w:hAnsi="Times New Roman" w:cs="Times New Roman"/>
          <w:sz w:val="24"/>
          <w:szCs w:val="24"/>
        </w:rPr>
        <w:t xml:space="preserve"> Malaysia (UKM),</w:t>
      </w:r>
    </w:p>
    <w:p w14:paraId="59EAB253" w14:textId="050B6BC9" w:rsidR="00642365" w:rsidRPr="00BA63BA" w:rsidRDefault="00642365" w:rsidP="00991BDA">
      <w:pPr>
        <w:widowControl w:val="0"/>
        <w:autoSpaceDE w:val="0"/>
        <w:autoSpaceDN w:val="0"/>
        <w:spacing w:after="0" w:line="240" w:lineRule="auto"/>
        <w:contextualSpacing/>
        <w:jc w:val="center"/>
        <w:rPr>
          <w:rFonts w:ascii="Times New Roman" w:hAnsi="Times New Roman" w:cs="Times New Roman"/>
          <w:sz w:val="24"/>
          <w:szCs w:val="24"/>
        </w:rPr>
      </w:pPr>
      <w:r w:rsidRPr="00BA63BA">
        <w:rPr>
          <w:rFonts w:ascii="Times New Roman" w:hAnsi="Times New Roman" w:cs="Times New Roman"/>
          <w:sz w:val="24"/>
          <w:szCs w:val="24"/>
          <w:vertAlign w:val="superscript"/>
        </w:rPr>
        <w:t>3</w:t>
      </w:r>
      <w:r w:rsidRPr="00BA63BA">
        <w:rPr>
          <w:rFonts w:ascii="Times New Roman" w:hAnsi="Times New Roman" w:cs="Times New Roman"/>
          <w:sz w:val="24"/>
          <w:szCs w:val="24"/>
        </w:rPr>
        <w:t xml:space="preserve">Faculty of Accountancy, </w:t>
      </w:r>
      <w:proofErr w:type="spellStart"/>
      <w:r w:rsidRPr="00BA63BA">
        <w:rPr>
          <w:rFonts w:ascii="Times New Roman" w:hAnsi="Times New Roman" w:cs="Times New Roman"/>
          <w:sz w:val="24"/>
          <w:szCs w:val="24"/>
        </w:rPr>
        <w:t>Universiti</w:t>
      </w:r>
      <w:proofErr w:type="spellEnd"/>
      <w:r w:rsidRPr="00BA63BA">
        <w:rPr>
          <w:rFonts w:ascii="Times New Roman" w:hAnsi="Times New Roman" w:cs="Times New Roman"/>
          <w:sz w:val="24"/>
          <w:szCs w:val="24"/>
        </w:rPr>
        <w:t xml:space="preserve"> </w:t>
      </w:r>
      <w:proofErr w:type="spellStart"/>
      <w:r w:rsidRPr="00BA63BA">
        <w:rPr>
          <w:rFonts w:ascii="Times New Roman" w:hAnsi="Times New Roman" w:cs="Times New Roman"/>
          <w:sz w:val="24"/>
          <w:szCs w:val="24"/>
        </w:rPr>
        <w:t>Teknologi</w:t>
      </w:r>
      <w:proofErr w:type="spellEnd"/>
      <w:r w:rsidRPr="00BA63BA">
        <w:rPr>
          <w:rFonts w:ascii="Times New Roman" w:hAnsi="Times New Roman" w:cs="Times New Roman"/>
          <w:sz w:val="24"/>
          <w:szCs w:val="24"/>
        </w:rPr>
        <w:t xml:space="preserve"> MARA (UiTM), Malaysia</w:t>
      </w:r>
    </w:p>
    <w:p w14:paraId="2CFCADCA" w14:textId="77777777" w:rsidR="00B45D52" w:rsidRDefault="00B45D52" w:rsidP="00B45D52">
      <w:pPr>
        <w:widowControl w:val="0"/>
        <w:autoSpaceDE w:val="0"/>
        <w:autoSpaceDN w:val="0"/>
        <w:spacing w:after="0" w:line="240" w:lineRule="auto"/>
        <w:contextualSpacing/>
        <w:jc w:val="center"/>
        <w:rPr>
          <w:rFonts w:ascii="Times New Roman" w:hAnsi="Times New Roman" w:cs="Times New Roman"/>
          <w:sz w:val="24"/>
          <w:szCs w:val="24"/>
        </w:rPr>
      </w:pPr>
    </w:p>
    <w:p w14:paraId="408C1C35" w14:textId="24716356" w:rsidR="00642365" w:rsidRPr="00BA63BA" w:rsidRDefault="00B45D52" w:rsidP="00B45D52">
      <w:pPr>
        <w:widowControl w:val="0"/>
        <w:autoSpaceDE w:val="0"/>
        <w:autoSpaceDN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Email: walirazali@yahoo.com</w:t>
      </w:r>
    </w:p>
    <w:p w14:paraId="084E87F1" w14:textId="77777777" w:rsidR="00642365" w:rsidRPr="00BA63BA" w:rsidRDefault="00642365" w:rsidP="00991BDA">
      <w:pPr>
        <w:spacing w:after="0" w:line="240" w:lineRule="auto"/>
        <w:jc w:val="both"/>
        <w:rPr>
          <w:rFonts w:ascii="Times New Roman" w:hAnsi="Times New Roman" w:cs="Times New Roman"/>
          <w:b/>
          <w:bCs/>
          <w:sz w:val="24"/>
          <w:szCs w:val="24"/>
        </w:rPr>
      </w:pPr>
      <w:r w:rsidRPr="00BA63BA">
        <w:rPr>
          <w:rFonts w:ascii="Times New Roman" w:hAnsi="Times New Roman" w:cs="Times New Roman"/>
          <w:b/>
          <w:bCs/>
          <w:sz w:val="24"/>
          <w:szCs w:val="24"/>
        </w:rPr>
        <w:t>Abstract</w:t>
      </w:r>
    </w:p>
    <w:p w14:paraId="70B8C604" w14:textId="2BAABD5F" w:rsidR="00642365" w:rsidRPr="00BA63BA" w:rsidRDefault="003311C7" w:rsidP="00991BDA">
      <w:pPr>
        <w:spacing w:after="0" w:line="240" w:lineRule="auto"/>
        <w:jc w:val="both"/>
        <w:rPr>
          <w:rFonts w:ascii="Times New Roman" w:hAnsi="Times New Roman" w:cs="Times New Roman"/>
          <w:sz w:val="24"/>
          <w:szCs w:val="24"/>
        </w:rPr>
      </w:pPr>
      <w:r w:rsidRPr="00BA63BA">
        <w:rPr>
          <w:rFonts w:ascii="Times New Roman" w:hAnsi="Times New Roman" w:cs="Times New Roman"/>
          <w:sz w:val="24"/>
          <w:szCs w:val="24"/>
        </w:rPr>
        <w:t xml:space="preserve">Nowadays the users of financial reports are more demanding and requesting better information of a company’s performance. With the sophistication in the business environment, disclosure is becoming more important to business communities. The impact of information disclosure in the annual reports to the cost of equity capital is of significant interest to managers. </w:t>
      </w:r>
      <w:r w:rsidR="009856A1" w:rsidRPr="00BA63BA">
        <w:rPr>
          <w:rFonts w:ascii="Times New Roman" w:hAnsi="Times New Roman" w:cs="Times New Roman"/>
          <w:sz w:val="24"/>
          <w:szCs w:val="24"/>
        </w:rPr>
        <w:t>This paper review literatures from many theoretical papers and empirical studies the effect information disclosure on cost equity capital. Many theories being discuss in this paper such as agency cost theory, signaling theory, capital markets transaction hypothesis, and positive accounting theory. Many empirical studies proved that disclosure reduce cost equity capital by reducing the information asymmetry and increasing the companies’ liquidity.</w:t>
      </w:r>
    </w:p>
    <w:p w14:paraId="49A6E9C2" w14:textId="77777777" w:rsidR="009856A1" w:rsidRPr="00BA63BA" w:rsidRDefault="009856A1" w:rsidP="00991BDA">
      <w:pPr>
        <w:spacing w:after="0" w:line="240" w:lineRule="auto"/>
        <w:jc w:val="both"/>
        <w:rPr>
          <w:rFonts w:ascii="Times New Roman" w:hAnsi="Times New Roman" w:cs="Times New Roman"/>
          <w:sz w:val="24"/>
          <w:szCs w:val="24"/>
        </w:rPr>
      </w:pPr>
    </w:p>
    <w:p w14:paraId="7B918AE0" w14:textId="54F10C0F" w:rsidR="00642365" w:rsidRPr="00BA63BA" w:rsidRDefault="00642365" w:rsidP="00991BDA">
      <w:pPr>
        <w:spacing w:after="0" w:line="240" w:lineRule="auto"/>
        <w:jc w:val="both"/>
        <w:rPr>
          <w:rFonts w:ascii="Times New Roman" w:hAnsi="Times New Roman" w:cs="Times New Roman"/>
          <w:sz w:val="24"/>
          <w:szCs w:val="24"/>
        </w:rPr>
      </w:pPr>
      <w:r w:rsidRPr="00BA63BA">
        <w:rPr>
          <w:rFonts w:ascii="Times New Roman" w:hAnsi="Times New Roman" w:cs="Times New Roman"/>
          <w:sz w:val="24"/>
          <w:szCs w:val="24"/>
        </w:rPr>
        <w:t xml:space="preserve">Keywords: disclosure, </w:t>
      </w:r>
      <w:r w:rsidR="009856A1" w:rsidRPr="00BA63BA">
        <w:rPr>
          <w:rFonts w:ascii="Times New Roman" w:hAnsi="Times New Roman" w:cs="Times New Roman"/>
          <w:sz w:val="24"/>
          <w:szCs w:val="24"/>
        </w:rPr>
        <w:t>cost equity, liquidity, agency cost, capital market</w:t>
      </w:r>
    </w:p>
    <w:p w14:paraId="0214BDC9" w14:textId="77777777" w:rsidR="00642365" w:rsidRPr="00BA63BA" w:rsidRDefault="00642365" w:rsidP="00991BDA">
      <w:pPr>
        <w:spacing w:after="0" w:line="240" w:lineRule="auto"/>
        <w:jc w:val="both"/>
        <w:rPr>
          <w:rStyle w:val="Strong"/>
          <w:rFonts w:ascii="Times New Roman" w:hAnsi="Times New Roman" w:cs="Times New Roman"/>
          <w:b w:val="0"/>
          <w:bCs w:val="0"/>
          <w:sz w:val="24"/>
          <w:szCs w:val="24"/>
        </w:rPr>
      </w:pPr>
    </w:p>
    <w:p w14:paraId="33B1EFAD" w14:textId="7B502912" w:rsidR="00B53720" w:rsidRPr="00BA63BA" w:rsidRDefault="003D179F" w:rsidP="00991BDA">
      <w:pPr>
        <w:spacing w:after="0" w:line="240" w:lineRule="auto"/>
        <w:jc w:val="both"/>
        <w:rPr>
          <w:rFonts w:ascii="Times New Roman" w:hAnsi="Times New Roman" w:cs="Times New Roman"/>
          <w:b/>
          <w:bCs/>
          <w:sz w:val="24"/>
          <w:szCs w:val="24"/>
        </w:rPr>
      </w:pPr>
      <w:r w:rsidRPr="00BA63BA">
        <w:rPr>
          <w:rFonts w:ascii="Times New Roman" w:hAnsi="Times New Roman" w:cs="Times New Roman"/>
          <w:b/>
          <w:bCs/>
          <w:sz w:val="24"/>
          <w:szCs w:val="24"/>
        </w:rPr>
        <w:t xml:space="preserve">1.0 </w:t>
      </w:r>
      <w:r w:rsidR="00B53720" w:rsidRPr="00BA63BA">
        <w:rPr>
          <w:rFonts w:ascii="Times New Roman" w:hAnsi="Times New Roman" w:cs="Times New Roman"/>
          <w:b/>
          <w:bCs/>
          <w:sz w:val="24"/>
          <w:szCs w:val="24"/>
        </w:rPr>
        <w:tab/>
      </w:r>
      <w:r w:rsidR="00991BDA" w:rsidRPr="00BA63BA">
        <w:rPr>
          <w:rFonts w:ascii="Times New Roman" w:hAnsi="Times New Roman" w:cs="Times New Roman"/>
          <w:b/>
          <w:bCs/>
          <w:sz w:val="24"/>
          <w:szCs w:val="24"/>
        </w:rPr>
        <w:t>Introduction</w:t>
      </w:r>
    </w:p>
    <w:p w14:paraId="32599695" w14:textId="77777777" w:rsidR="00B53720" w:rsidRPr="00BA63BA" w:rsidRDefault="00B53720" w:rsidP="00991BDA">
      <w:pPr>
        <w:spacing w:after="0" w:line="240" w:lineRule="auto"/>
        <w:jc w:val="both"/>
        <w:rPr>
          <w:rFonts w:ascii="Times New Roman" w:hAnsi="Times New Roman" w:cs="Times New Roman"/>
          <w:sz w:val="24"/>
          <w:szCs w:val="24"/>
        </w:rPr>
      </w:pPr>
      <w:r w:rsidRPr="00BA63BA">
        <w:rPr>
          <w:rFonts w:ascii="Times New Roman" w:hAnsi="Times New Roman" w:cs="Times New Roman"/>
          <w:sz w:val="24"/>
          <w:szCs w:val="24"/>
        </w:rPr>
        <w:t xml:space="preserve">Nowadays the users of financial reports are more demanding and requesting better information of the company’s performance. With the sophistication in the business environment, disclosure is becoming more important to business communities. The subjects of the timely and quality information are relevant to the business environment. Good disclosure will foster a healthy relationship of company performance and improve corporate governance. Some companies provide disclosure to differentiate their products and while others disclose accounting information to acquire external financing. As a result, large companies in Malaysia are especially concerned about the impacts of the disclosure which in turn might indicate their awareness </w:t>
      </w:r>
      <w:r w:rsidR="00C77E49" w:rsidRPr="00BA63BA">
        <w:rPr>
          <w:rFonts w:ascii="Times New Roman" w:hAnsi="Times New Roman" w:cs="Times New Roman"/>
          <w:iCs/>
          <w:color w:val="231F20"/>
          <w:sz w:val="24"/>
          <w:szCs w:val="24"/>
          <w:lang w:val="en-MY" w:eastAsia="en-MY"/>
        </w:rPr>
        <w:t>(Hashim and Salleh</w:t>
      </w:r>
      <w:r w:rsidR="00C77E49" w:rsidRPr="00BA63BA">
        <w:rPr>
          <w:rFonts w:ascii="Times New Roman" w:hAnsi="Times New Roman" w:cs="Times New Roman"/>
          <w:i/>
          <w:iCs/>
          <w:color w:val="231F20"/>
          <w:sz w:val="24"/>
          <w:szCs w:val="24"/>
          <w:lang w:val="en-MY" w:eastAsia="en-MY"/>
        </w:rPr>
        <w:t xml:space="preserve">, </w:t>
      </w:r>
      <w:r w:rsidR="00C77E49" w:rsidRPr="00BA63BA">
        <w:rPr>
          <w:rFonts w:ascii="Times New Roman" w:hAnsi="Times New Roman" w:cs="Times New Roman"/>
          <w:iCs/>
          <w:color w:val="231F20"/>
          <w:sz w:val="24"/>
          <w:szCs w:val="24"/>
          <w:lang w:val="en-MY" w:eastAsia="en-MY"/>
        </w:rPr>
        <w:t>2007, Abdullah and Ismail, 2008</w:t>
      </w:r>
      <w:r w:rsidR="00C77E49" w:rsidRPr="00BA63BA">
        <w:rPr>
          <w:rFonts w:ascii="Times New Roman" w:hAnsi="Times New Roman" w:cs="Times New Roman"/>
          <w:i/>
          <w:iCs/>
          <w:color w:val="231F20"/>
          <w:sz w:val="24"/>
          <w:szCs w:val="24"/>
          <w:lang w:val="en-MY" w:eastAsia="en-MY"/>
        </w:rPr>
        <w:t>)</w:t>
      </w:r>
      <w:r w:rsidR="00C77E49" w:rsidRPr="00BA63BA">
        <w:rPr>
          <w:rFonts w:ascii="Times New Roman" w:hAnsi="Times New Roman" w:cs="Times New Roman"/>
          <w:sz w:val="24"/>
          <w:szCs w:val="24"/>
        </w:rPr>
        <w:t xml:space="preserve">. </w:t>
      </w:r>
      <w:r w:rsidRPr="00BA63BA">
        <w:rPr>
          <w:rFonts w:ascii="Times New Roman" w:hAnsi="Times New Roman" w:cs="Times New Roman"/>
          <w:sz w:val="24"/>
          <w:szCs w:val="24"/>
        </w:rPr>
        <w:t>They are aware and concerned about the poor disclosure images when they communicate about them and thus become more sensitive to different pressure groups and legislators.</w:t>
      </w:r>
    </w:p>
    <w:p w14:paraId="0DD9C1E7" w14:textId="0685E0F0" w:rsidR="00B53720" w:rsidRPr="00BA63BA" w:rsidRDefault="00B53720" w:rsidP="00991BDA">
      <w:pPr>
        <w:spacing w:after="0" w:line="240" w:lineRule="auto"/>
        <w:ind w:firstLine="720"/>
        <w:jc w:val="both"/>
        <w:rPr>
          <w:rFonts w:ascii="Times New Roman" w:hAnsi="Times New Roman" w:cs="Times New Roman"/>
          <w:sz w:val="24"/>
          <w:szCs w:val="24"/>
          <w:lang w:val="en-MY" w:eastAsia="en-MY"/>
        </w:rPr>
      </w:pPr>
      <w:bookmarkStart w:id="0" w:name="_Hlk25952647"/>
      <w:r w:rsidRPr="00BA63BA">
        <w:rPr>
          <w:rFonts w:ascii="Times New Roman" w:hAnsi="Times New Roman" w:cs="Times New Roman"/>
          <w:sz w:val="24"/>
          <w:szCs w:val="24"/>
        </w:rPr>
        <w:t xml:space="preserve">The extent of disclosure issues has been highlighted in corporate scandals such as WorldCom and Enron which had applied unethical ways to cheat the </w:t>
      </w:r>
      <w:bookmarkEnd w:id="0"/>
      <w:r w:rsidRPr="00BA63BA">
        <w:rPr>
          <w:rFonts w:ascii="Times New Roman" w:hAnsi="Times New Roman" w:cs="Times New Roman"/>
          <w:sz w:val="24"/>
          <w:szCs w:val="24"/>
        </w:rPr>
        <w:t>stakeholders of those companies, employees, creditors, the government and shareholders (</w:t>
      </w:r>
      <w:proofErr w:type="spellStart"/>
      <w:r w:rsidR="00DB40A4" w:rsidRPr="00BA63BA">
        <w:rPr>
          <w:rFonts w:ascii="Times New Roman" w:hAnsi="Times New Roman" w:cs="Times New Roman"/>
          <w:sz w:val="24"/>
          <w:szCs w:val="24"/>
          <w:lang w:val="en-MY"/>
        </w:rPr>
        <w:t>Unermana</w:t>
      </w:r>
      <w:proofErr w:type="spellEnd"/>
      <w:r w:rsidR="00DB40A4" w:rsidRPr="00BA63BA">
        <w:rPr>
          <w:rFonts w:ascii="Times New Roman" w:hAnsi="Times New Roman" w:cs="Times New Roman"/>
          <w:sz w:val="24"/>
          <w:szCs w:val="24"/>
          <w:lang w:val="en-MY"/>
        </w:rPr>
        <w:t xml:space="preserve"> and </w:t>
      </w:r>
      <w:proofErr w:type="spellStart"/>
      <w:r w:rsidR="00DB40A4" w:rsidRPr="00BA63BA">
        <w:rPr>
          <w:rFonts w:ascii="Times New Roman" w:hAnsi="Times New Roman" w:cs="Times New Roman"/>
          <w:sz w:val="24"/>
          <w:szCs w:val="24"/>
          <w:lang w:val="en-MY"/>
        </w:rPr>
        <w:t>O’Dwyerb</w:t>
      </w:r>
      <w:proofErr w:type="spellEnd"/>
      <w:r w:rsidRPr="00BA63BA">
        <w:rPr>
          <w:rFonts w:ascii="Times New Roman" w:hAnsi="Times New Roman" w:cs="Times New Roman"/>
          <w:sz w:val="24"/>
          <w:szCs w:val="24"/>
        </w:rPr>
        <w:t xml:space="preserve">, 2004). Such misleading financial reporting has called for institution attention to reform corporate governance.  In Malaysia, it has been observed that poor quality of disclosed information significantly affects the firm’s profitability and subsequently leads to an increase in legal and non-legal problems. The National Economic Action Council (NEAC) has recommended that the Malaysian capital market can be improved through </w:t>
      </w:r>
      <w:r w:rsidRPr="00BA63BA">
        <w:rPr>
          <w:rFonts w:ascii="Times New Roman" w:hAnsi="Times New Roman" w:cs="Times New Roman"/>
          <w:sz w:val="24"/>
          <w:szCs w:val="24"/>
          <w:lang w:val="en-MY" w:eastAsia="en-MY"/>
        </w:rPr>
        <w:t xml:space="preserve">transparency, accountability </w:t>
      </w:r>
      <w:r w:rsidRPr="00BA63BA">
        <w:rPr>
          <w:rFonts w:ascii="Times New Roman" w:hAnsi="Times New Roman" w:cs="Times New Roman"/>
          <w:sz w:val="24"/>
          <w:szCs w:val="24"/>
          <w:lang w:val="en-MY" w:eastAsia="en-MY"/>
        </w:rPr>
        <w:lastRenderedPageBreak/>
        <w:t>and corporate governance (</w:t>
      </w:r>
      <w:r w:rsidR="004F4B63" w:rsidRPr="00BA63BA">
        <w:rPr>
          <w:rFonts w:ascii="Times New Roman" w:hAnsi="Times New Roman" w:cs="Times New Roman"/>
          <w:sz w:val="24"/>
          <w:szCs w:val="24"/>
          <w:lang w:val="en-MY" w:eastAsia="en-MY"/>
        </w:rPr>
        <w:t xml:space="preserve">Ghazali and </w:t>
      </w:r>
      <w:proofErr w:type="spellStart"/>
      <w:r w:rsidR="004F4B63" w:rsidRPr="00BA63BA">
        <w:rPr>
          <w:rFonts w:ascii="Times New Roman" w:hAnsi="Times New Roman" w:cs="Times New Roman"/>
          <w:sz w:val="24"/>
          <w:szCs w:val="24"/>
        </w:rPr>
        <w:t>Weetman</w:t>
      </w:r>
      <w:proofErr w:type="spellEnd"/>
      <w:r w:rsidRPr="00BA63BA">
        <w:rPr>
          <w:rFonts w:ascii="Times New Roman" w:hAnsi="Times New Roman" w:cs="Times New Roman"/>
          <w:sz w:val="24"/>
          <w:szCs w:val="24"/>
          <w:lang w:val="en-MY" w:eastAsia="en-MY"/>
        </w:rPr>
        <w:t xml:space="preserve">, 2006).  The Domestic Trade and Consumer Affairs Minister has stated that the outside investors’ confidence can be enhanced through a high quality of corporate reporting (Accountant Today, </w:t>
      </w:r>
      <w:proofErr w:type="gramStart"/>
      <w:r w:rsidR="00CC7E9C" w:rsidRPr="00BA63BA">
        <w:rPr>
          <w:rFonts w:ascii="Times New Roman" w:hAnsi="Times New Roman" w:cs="Times New Roman"/>
          <w:sz w:val="24"/>
          <w:szCs w:val="24"/>
          <w:lang w:val="en-MY" w:eastAsia="en-MY"/>
        </w:rPr>
        <w:t>January,</w:t>
      </w:r>
      <w:proofErr w:type="gramEnd"/>
      <w:r w:rsidR="00CC7E9C" w:rsidRPr="00BA63BA">
        <w:rPr>
          <w:rFonts w:ascii="Times New Roman" w:hAnsi="Times New Roman" w:cs="Times New Roman"/>
          <w:sz w:val="24"/>
          <w:szCs w:val="24"/>
          <w:lang w:val="en-MY" w:eastAsia="en-MY"/>
        </w:rPr>
        <w:t xml:space="preserve"> </w:t>
      </w:r>
      <w:r w:rsidRPr="00BA63BA">
        <w:rPr>
          <w:rFonts w:ascii="Times New Roman" w:hAnsi="Times New Roman" w:cs="Times New Roman"/>
          <w:sz w:val="24"/>
          <w:szCs w:val="24"/>
          <w:lang w:val="en-MY" w:eastAsia="en-MY"/>
        </w:rPr>
        <w:t>2007).</w:t>
      </w:r>
    </w:p>
    <w:p w14:paraId="13F2B2C6" w14:textId="77777777" w:rsidR="00B53720" w:rsidRPr="00BA63BA" w:rsidRDefault="00B53720" w:rsidP="00991BDA">
      <w:pPr>
        <w:spacing w:after="0" w:line="240" w:lineRule="auto"/>
        <w:ind w:firstLine="720"/>
        <w:jc w:val="both"/>
        <w:rPr>
          <w:rFonts w:ascii="Times New Roman" w:hAnsi="Times New Roman" w:cs="Times New Roman"/>
          <w:sz w:val="24"/>
          <w:szCs w:val="24"/>
          <w:lang w:val="en-MY" w:eastAsia="en-MY"/>
        </w:rPr>
      </w:pPr>
      <w:r w:rsidRPr="00BA63BA">
        <w:rPr>
          <w:rFonts w:ascii="Times New Roman" w:hAnsi="Times New Roman" w:cs="Times New Roman"/>
          <w:sz w:val="24"/>
          <w:szCs w:val="24"/>
          <w:lang w:val="en-MY" w:eastAsia="en-MY"/>
        </w:rPr>
        <w:t>During the Asian financial crisis in 1997, Malaysia revealed serious weaknesses in its corporate governance practice including the lack of transparency, disclosure and accountab</w:t>
      </w:r>
      <w:r w:rsidR="002E42C0" w:rsidRPr="00BA63BA">
        <w:rPr>
          <w:rFonts w:ascii="Times New Roman" w:hAnsi="Times New Roman" w:cs="Times New Roman"/>
          <w:sz w:val="24"/>
          <w:szCs w:val="24"/>
          <w:lang w:val="en-MY" w:eastAsia="en-MY"/>
        </w:rPr>
        <w:t>ility (Rahman and</w:t>
      </w:r>
      <w:r w:rsidRPr="00BA63BA">
        <w:rPr>
          <w:rFonts w:ascii="Times New Roman" w:hAnsi="Times New Roman" w:cs="Times New Roman"/>
          <w:sz w:val="24"/>
          <w:szCs w:val="24"/>
          <w:lang w:val="en-MY" w:eastAsia="en-MY"/>
        </w:rPr>
        <w:t xml:space="preserve"> Ali, 2006). The extent of disclosure and transparency information has been highlighted to aid in turning the quality of investment and external financing decision. (Ho and Wong, 2001, 2004). The Malaysian government has taken several steps in enhancing the investment climate by promoting capital fund growth. The steps included internalisation of the financial activity, deregulation of the financial markets, and rapid advanced in the technology for the Malaysia capital market (Wong, 2006). As of 31 December 2009, 974 companies have been listed in Bursa Malaysia and these numbers are expected to increase in the coming years (Bursa Malaysia, 2009).</w:t>
      </w:r>
    </w:p>
    <w:p w14:paraId="1A78CFE7" w14:textId="77777777" w:rsidR="001E6A4B" w:rsidRPr="00BA63BA" w:rsidRDefault="00B53720" w:rsidP="00991BDA">
      <w:pPr>
        <w:spacing w:after="0" w:line="240" w:lineRule="auto"/>
        <w:ind w:firstLine="720"/>
        <w:jc w:val="both"/>
        <w:rPr>
          <w:rFonts w:ascii="Times New Roman" w:hAnsi="Times New Roman" w:cs="Times New Roman"/>
          <w:sz w:val="24"/>
          <w:szCs w:val="24"/>
          <w:lang w:val="en-MY" w:eastAsia="en-MY"/>
        </w:rPr>
      </w:pPr>
      <w:r w:rsidRPr="00BA63BA">
        <w:rPr>
          <w:rFonts w:ascii="Times New Roman" w:hAnsi="Times New Roman" w:cs="Times New Roman"/>
          <w:sz w:val="24"/>
          <w:szCs w:val="24"/>
          <w:lang w:val="en-MY" w:eastAsia="en-MY"/>
        </w:rPr>
        <w:t xml:space="preserve">The Malaysia Accounting Standard Board (MASB) encourages listed companies to provide more disclosure (Abdullah and Ismail, 2008). Under the Financial Reporting Standard 101, the companies are encouraged to provide a financial review and additional information in the annual report (FRS 101, Para 99, pp 40). Furthermore, Jaffar et al. (2007) stated that </w:t>
      </w:r>
      <w:r w:rsidRPr="00BA63BA">
        <w:rPr>
          <w:rFonts w:ascii="Times New Roman" w:hAnsi="Times New Roman" w:cs="Times New Roman"/>
          <w:color w:val="231F20"/>
          <w:sz w:val="24"/>
          <w:szCs w:val="24"/>
          <w:lang w:val="en-MY" w:eastAsia="en-MY"/>
        </w:rPr>
        <w:t xml:space="preserve">professional accountancy bodies have taken </w:t>
      </w:r>
      <w:proofErr w:type="gramStart"/>
      <w:r w:rsidRPr="00BA63BA">
        <w:rPr>
          <w:rFonts w:ascii="Times New Roman" w:hAnsi="Times New Roman" w:cs="Times New Roman"/>
          <w:color w:val="231F20"/>
          <w:sz w:val="24"/>
          <w:szCs w:val="24"/>
          <w:lang w:val="en-MY" w:eastAsia="en-MY"/>
        </w:rPr>
        <w:t>a number of</w:t>
      </w:r>
      <w:proofErr w:type="gramEnd"/>
      <w:r w:rsidRPr="00BA63BA">
        <w:rPr>
          <w:rFonts w:ascii="Times New Roman" w:hAnsi="Times New Roman" w:cs="Times New Roman"/>
          <w:color w:val="231F20"/>
          <w:sz w:val="24"/>
          <w:szCs w:val="24"/>
          <w:lang w:val="en-MY" w:eastAsia="en-MY"/>
        </w:rPr>
        <w:t xml:space="preserve"> measures to improve the quality of reporting. For instance, the National Annual Corporate Awards (NACRA) is organised together with the Malaysian Institute of Management</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(MIM), Malaysian Institute of Certified Public Accountants (MICPA) and Malaysian</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Institute of Accountants (MIA) to promote high quality and transparent financial reporting in Malaysia. The main objectives of the awards are</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to promote greater and more effective</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communication by organisations through the publication of timely, informative, factual</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and reader-friendly annual reports and to recognise and encourage excellence in the</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color w:val="231F20"/>
          <w:sz w:val="24"/>
          <w:szCs w:val="24"/>
          <w:lang w:val="en-MY" w:eastAsia="en-MY"/>
        </w:rPr>
        <w:t>presentation of financial and business information</w:t>
      </w:r>
      <w:r w:rsidRPr="00BA63BA">
        <w:rPr>
          <w:rFonts w:ascii="Times New Roman" w:hAnsi="Times New Roman" w:cs="Times New Roman"/>
          <w:sz w:val="24"/>
          <w:szCs w:val="24"/>
          <w:lang w:val="en-MY" w:eastAsia="en-MY"/>
        </w:rPr>
        <w:t>.</w:t>
      </w:r>
    </w:p>
    <w:p w14:paraId="6DF9D199" w14:textId="5529961C" w:rsidR="00B53720" w:rsidRPr="00BA63BA" w:rsidRDefault="00B53720" w:rsidP="00991BDA">
      <w:pPr>
        <w:spacing w:after="0" w:line="240" w:lineRule="auto"/>
        <w:ind w:firstLine="720"/>
        <w:jc w:val="both"/>
        <w:rPr>
          <w:rFonts w:ascii="Times New Roman" w:hAnsi="Times New Roman" w:cs="Times New Roman"/>
          <w:sz w:val="24"/>
          <w:szCs w:val="24"/>
          <w:lang w:val="en-MY" w:eastAsia="en-MY"/>
        </w:rPr>
      </w:pPr>
      <w:r w:rsidRPr="00BA63BA">
        <w:rPr>
          <w:rFonts w:ascii="Times New Roman" w:hAnsi="Times New Roman" w:cs="Times New Roman"/>
          <w:sz w:val="24"/>
          <w:szCs w:val="24"/>
          <w:lang w:val="en-MY" w:eastAsia="en-MY"/>
        </w:rPr>
        <w:t>Some studies have found that the disclosure is associated with liquidity (Abdullah and Ismail,</w:t>
      </w:r>
      <w:r w:rsidR="00C77E49" w:rsidRPr="00BA63BA">
        <w:rPr>
          <w:rFonts w:ascii="Times New Roman" w:hAnsi="Times New Roman" w:cs="Times New Roman"/>
          <w:sz w:val="24"/>
          <w:szCs w:val="24"/>
          <w:lang w:val="en-MY" w:eastAsia="en-MY"/>
        </w:rPr>
        <w:t xml:space="preserve"> 2008</w:t>
      </w:r>
      <w:r w:rsidRPr="00BA63BA">
        <w:rPr>
          <w:rFonts w:ascii="Times New Roman" w:hAnsi="Times New Roman" w:cs="Times New Roman"/>
          <w:sz w:val="24"/>
          <w:szCs w:val="24"/>
          <w:lang w:val="en-MY" w:eastAsia="en-MY"/>
        </w:rPr>
        <w:t>) and sales growth (</w:t>
      </w:r>
      <w:proofErr w:type="spellStart"/>
      <w:r w:rsidRPr="00BA63BA">
        <w:rPr>
          <w:rFonts w:ascii="Times New Roman" w:hAnsi="Times New Roman" w:cs="Times New Roman"/>
          <w:sz w:val="24"/>
          <w:szCs w:val="24"/>
          <w:lang w:val="en-MY" w:eastAsia="en-MY"/>
        </w:rPr>
        <w:t>Yau</w:t>
      </w:r>
      <w:proofErr w:type="spellEnd"/>
      <w:r w:rsidRPr="00BA63BA">
        <w:rPr>
          <w:rFonts w:ascii="Times New Roman" w:hAnsi="Times New Roman" w:cs="Times New Roman"/>
          <w:sz w:val="24"/>
          <w:szCs w:val="24"/>
          <w:lang w:val="en-MY" w:eastAsia="en-MY"/>
        </w:rPr>
        <w:t xml:space="preserve"> et al.,</w:t>
      </w:r>
      <w:r w:rsidR="00C77E49" w:rsidRPr="00BA63BA">
        <w:rPr>
          <w:rFonts w:ascii="Times New Roman" w:hAnsi="Times New Roman" w:cs="Times New Roman"/>
          <w:sz w:val="24"/>
          <w:szCs w:val="24"/>
          <w:lang w:val="en-MY" w:eastAsia="en-MY"/>
        </w:rPr>
        <w:t xml:space="preserve"> 2009</w:t>
      </w:r>
      <w:r w:rsidRPr="00BA63BA">
        <w:rPr>
          <w:rFonts w:ascii="Times New Roman" w:hAnsi="Times New Roman" w:cs="Times New Roman"/>
          <w:sz w:val="24"/>
          <w:szCs w:val="24"/>
          <w:lang w:val="en-MY" w:eastAsia="en-MY"/>
        </w:rPr>
        <w:t xml:space="preserve">) for Malaysian companies.  The empirical evidence of disclosure towards the companies’ performance can attract outside investors as an alternative investment </w:t>
      </w:r>
      <w:proofErr w:type="gramStart"/>
      <w:r w:rsidRPr="00BA63BA">
        <w:rPr>
          <w:rFonts w:ascii="Times New Roman" w:hAnsi="Times New Roman" w:cs="Times New Roman"/>
          <w:sz w:val="24"/>
          <w:szCs w:val="24"/>
          <w:lang w:val="en-MY" w:eastAsia="en-MY"/>
        </w:rPr>
        <w:t>opportunities</w:t>
      </w:r>
      <w:proofErr w:type="gramEnd"/>
      <w:r w:rsidRPr="00BA63BA">
        <w:rPr>
          <w:rFonts w:ascii="Times New Roman" w:hAnsi="Times New Roman" w:cs="Times New Roman"/>
          <w:sz w:val="24"/>
          <w:szCs w:val="24"/>
          <w:lang w:val="en-MY" w:eastAsia="en-MY"/>
        </w:rPr>
        <w:t xml:space="preserve"> (</w:t>
      </w:r>
      <w:proofErr w:type="spellStart"/>
      <w:r w:rsidRPr="00BA63BA">
        <w:rPr>
          <w:rFonts w:ascii="Times New Roman" w:hAnsi="Times New Roman" w:cs="Times New Roman"/>
          <w:sz w:val="24"/>
          <w:szCs w:val="24"/>
          <w:lang w:val="en-MY" w:eastAsia="en-MY"/>
        </w:rPr>
        <w:t>Suijs</w:t>
      </w:r>
      <w:proofErr w:type="spellEnd"/>
      <w:r w:rsidRPr="00BA63BA">
        <w:rPr>
          <w:rFonts w:ascii="Times New Roman" w:hAnsi="Times New Roman" w:cs="Times New Roman"/>
          <w:sz w:val="24"/>
          <w:szCs w:val="24"/>
          <w:lang w:val="en-MY" w:eastAsia="en-MY"/>
        </w:rPr>
        <w:t>, 2007). Disclosures in the annual reports reduce information asymmetry to the outside investors and allow them to predict better future earnings (</w:t>
      </w:r>
      <w:proofErr w:type="spellStart"/>
      <w:r w:rsidRPr="00BA63BA">
        <w:rPr>
          <w:rFonts w:ascii="Times New Roman" w:hAnsi="Times New Roman" w:cs="Times New Roman"/>
          <w:sz w:val="24"/>
          <w:szCs w:val="24"/>
          <w:lang w:val="en-MY" w:eastAsia="en-MY"/>
        </w:rPr>
        <w:t>Lu</w:t>
      </w:r>
      <w:r w:rsidR="00896032" w:rsidRPr="00BA63BA">
        <w:rPr>
          <w:rFonts w:ascii="Times New Roman" w:hAnsi="Times New Roman" w:cs="Times New Roman"/>
          <w:sz w:val="24"/>
          <w:szCs w:val="24"/>
          <w:lang w:val="en-MY" w:eastAsia="en-MY"/>
        </w:rPr>
        <w:t>n</w:t>
      </w:r>
      <w:r w:rsidRPr="00BA63BA">
        <w:rPr>
          <w:rFonts w:ascii="Times New Roman" w:hAnsi="Times New Roman" w:cs="Times New Roman"/>
          <w:sz w:val="24"/>
          <w:szCs w:val="24"/>
          <w:lang w:val="en-MY" w:eastAsia="en-MY"/>
        </w:rPr>
        <w:t>dholm</w:t>
      </w:r>
      <w:proofErr w:type="spellEnd"/>
      <w:r w:rsidRPr="00BA63BA">
        <w:rPr>
          <w:rFonts w:ascii="Times New Roman" w:hAnsi="Times New Roman" w:cs="Times New Roman"/>
          <w:sz w:val="24"/>
          <w:szCs w:val="24"/>
          <w:lang w:val="en-MY" w:eastAsia="en-MY"/>
        </w:rPr>
        <w:t xml:space="preserve"> and Myer, 2002). Healy and Palepu (2001) who had reviewed a paper on disclosure literature stated capital market transaction hypothesis as one of the factors the firms disclose more. They stated that firms that have the incentives to disclose more information could enjoy a lower cost of capital by reducing the cost associated to information risk. Prior studies show that the </w:t>
      </w:r>
      <w:proofErr w:type="gramStart"/>
      <w:r w:rsidRPr="00BA63BA">
        <w:rPr>
          <w:rFonts w:ascii="Times New Roman" w:hAnsi="Times New Roman" w:cs="Times New Roman"/>
          <w:sz w:val="24"/>
          <w:szCs w:val="24"/>
          <w:lang w:val="en-MY" w:eastAsia="en-MY"/>
        </w:rPr>
        <w:t>higher level</w:t>
      </w:r>
      <w:proofErr w:type="gramEnd"/>
      <w:r w:rsidRPr="00BA63BA">
        <w:rPr>
          <w:rFonts w:ascii="Times New Roman" w:hAnsi="Times New Roman" w:cs="Times New Roman"/>
          <w:sz w:val="24"/>
          <w:szCs w:val="24"/>
          <w:lang w:val="en-MY" w:eastAsia="en-MY"/>
        </w:rPr>
        <w:t xml:space="preserve"> disclosures have a significantly negative association to the cost equ</w:t>
      </w:r>
      <w:r w:rsidR="00313E9C" w:rsidRPr="00BA63BA">
        <w:rPr>
          <w:rFonts w:ascii="Times New Roman" w:hAnsi="Times New Roman" w:cs="Times New Roman"/>
          <w:sz w:val="24"/>
          <w:szCs w:val="24"/>
          <w:lang w:val="en-MY" w:eastAsia="en-MY"/>
        </w:rPr>
        <w:t>ity capital (</w:t>
      </w:r>
      <w:proofErr w:type="spellStart"/>
      <w:r w:rsidR="00313E9C" w:rsidRPr="00BA63BA">
        <w:rPr>
          <w:rFonts w:ascii="Times New Roman" w:hAnsi="Times New Roman" w:cs="Times New Roman"/>
          <w:sz w:val="24"/>
          <w:szCs w:val="24"/>
          <w:lang w:val="en-MY" w:eastAsia="en-MY"/>
        </w:rPr>
        <w:t>Botosan</w:t>
      </w:r>
      <w:proofErr w:type="spellEnd"/>
      <w:r w:rsidR="00313E9C" w:rsidRPr="00BA63BA">
        <w:rPr>
          <w:rFonts w:ascii="Times New Roman" w:hAnsi="Times New Roman" w:cs="Times New Roman"/>
          <w:sz w:val="24"/>
          <w:szCs w:val="24"/>
          <w:lang w:val="en-MY" w:eastAsia="en-MY"/>
        </w:rPr>
        <w:t>, 1997, 2000</w:t>
      </w:r>
      <w:r w:rsidRPr="00BA63BA">
        <w:rPr>
          <w:rFonts w:ascii="Times New Roman" w:hAnsi="Times New Roman" w:cs="Times New Roman"/>
          <w:sz w:val="24"/>
          <w:szCs w:val="24"/>
          <w:lang w:val="en-MY" w:eastAsia="en-MY"/>
        </w:rPr>
        <w:t xml:space="preserve">). </w:t>
      </w:r>
    </w:p>
    <w:p w14:paraId="2D47F8F8" w14:textId="5CD9A2F1" w:rsidR="00B53720" w:rsidRPr="00BA63BA" w:rsidRDefault="00B53720" w:rsidP="00991BDA">
      <w:pPr>
        <w:spacing w:after="0" w:line="240" w:lineRule="auto"/>
        <w:ind w:firstLine="720"/>
        <w:jc w:val="both"/>
        <w:rPr>
          <w:rFonts w:ascii="Times New Roman" w:hAnsi="Times New Roman" w:cs="Times New Roman"/>
          <w:sz w:val="24"/>
          <w:szCs w:val="24"/>
        </w:rPr>
      </w:pPr>
      <w:r w:rsidRPr="00BA63BA">
        <w:rPr>
          <w:rFonts w:ascii="Times New Roman" w:hAnsi="Times New Roman" w:cs="Times New Roman"/>
          <w:sz w:val="24"/>
          <w:szCs w:val="24"/>
          <w:lang w:val="en-MY" w:eastAsia="en-MY"/>
        </w:rPr>
        <w:t>The Malaysian regulatory framework has emphasised companies to disclose more voluntary disclosure rather than compliance statutory regulation to create shareholder value and thus this could reduce the cost equity capital. For emerging markets, t</w:t>
      </w:r>
      <w:r w:rsidRPr="00BA63BA">
        <w:rPr>
          <w:rFonts w:ascii="Times New Roman" w:hAnsi="Times New Roman" w:cs="Times New Roman"/>
          <w:sz w:val="24"/>
          <w:szCs w:val="24"/>
        </w:rPr>
        <w:t xml:space="preserve">he voluntary disclosure </w:t>
      </w:r>
      <w:r w:rsidRPr="00BA63BA">
        <w:rPr>
          <w:rFonts w:ascii="Times New Roman" w:hAnsi="Times New Roman" w:cs="Times New Roman"/>
          <w:sz w:val="24"/>
          <w:szCs w:val="24"/>
          <w:lang w:val="en-MY" w:eastAsia="en-MY"/>
        </w:rPr>
        <w:t>can</w:t>
      </w:r>
      <w:r w:rsidRPr="00BA63BA">
        <w:rPr>
          <w:rFonts w:ascii="Times New Roman" w:hAnsi="Times New Roman" w:cs="Times New Roman"/>
          <w:sz w:val="24"/>
          <w:szCs w:val="24"/>
        </w:rPr>
        <w:t xml:space="preserve"> be viewed as a form of private</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sz w:val="24"/>
          <w:szCs w:val="24"/>
        </w:rPr>
        <w:t>ordering between companies and investors to arrange disclosure items</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sz w:val="24"/>
          <w:szCs w:val="24"/>
        </w:rPr>
        <w:t xml:space="preserve">and disclosure quality </w:t>
      </w:r>
      <w:r w:rsidRPr="00BA63BA">
        <w:rPr>
          <w:rFonts w:ascii="Times New Roman" w:hAnsi="Times New Roman" w:cs="Times New Roman"/>
          <w:sz w:val="24"/>
          <w:szCs w:val="24"/>
        </w:rPr>
        <w:lastRenderedPageBreak/>
        <w:t>without recourse to</w:t>
      </w:r>
      <w:r w:rsidRPr="00BA63BA">
        <w:rPr>
          <w:rFonts w:ascii="Times New Roman" w:hAnsi="Times New Roman" w:cs="Times New Roman"/>
          <w:sz w:val="24"/>
          <w:szCs w:val="24"/>
          <w:lang w:val="en-MY" w:eastAsia="en-MY"/>
        </w:rPr>
        <w:t xml:space="preserve"> </w:t>
      </w:r>
      <w:r w:rsidRPr="00BA63BA">
        <w:rPr>
          <w:rFonts w:ascii="Times New Roman" w:hAnsi="Times New Roman" w:cs="Times New Roman"/>
          <w:sz w:val="24"/>
          <w:szCs w:val="24"/>
        </w:rPr>
        <w:t>formal legal institutions and lead to efficient capital market (Lin,</w:t>
      </w:r>
      <w:r w:rsidR="00C77E49" w:rsidRPr="00BA63BA">
        <w:rPr>
          <w:rFonts w:ascii="Times New Roman" w:hAnsi="Times New Roman" w:cs="Times New Roman"/>
          <w:sz w:val="24"/>
          <w:szCs w:val="24"/>
        </w:rPr>
        <w:t xml:space="preserve"> 2009</w:t>
      </w:r>
      <w:r w:rsidRPr="00BA63BA">
        <w:rPr>
          <w:rFonts w:ascii="Times New Roman" w:hAnsi="Times New Roman" w:cs="Times New Roman"/>
          <w:sz w:val="24"/>
          <w:szCs w:val="24"/>
        </w:rPr>
        <w:t>).</w:t>
      </w:r>
      <w:r w:rsidRPr="00BA63BA">
        <w:rPr>
          <w:rFonts w:ascii="Times New Roman" w:hAnsi="Times New Roman" w:cs="Times New Roman"/>
          <w:sz w:val="24"/>
          <w:szCs w:val="24"/>
          <w:lang w:val="en-MY" w:eastAsia="en-MY"/>
        </w:rPr>
        <w:t xml:space="preserve"> </w:t>
      </w:r>
    </w:p>
    <w:p w14:paraId="69F85379" w14:textId="76A73FCA" w:rsidR="00991BDA" w:rsidRPr="00BA63BA" w:rsidRDefault="00991BDA" w:rsidP="00991BDA">
      <w:pPr>
        <w:spacing w:after="0" w:line="240" w:lineRule="auto"/>
        <w:ind w:firstLine="720"/>
        <w:jc w:val="both"/>
        <w:rPr>
          <w:rFonts w:ascii="Times New Roman" w:hAnsi="Times New Roman" w:cs="Times New Roman"/>
          <w:sz w:val="24"/>
          <w:szCs w:val="24"/>
        </w:rPr>
      </w:pPr>
    </w:p>
    <w:p w14:paraId="09472BBC" w14:textId="6D79B614" w:rsidR="00991BDA" w:rsidRPr="00BA63BA" w:rsidRDefault="00991BDA" w:rsidP="00991BDA">
      <w:pPr>
        <w:spacing w:after="0" w:line="240" w:lineRule="auto"/>
        <w:jc w:val="both"/>
        <w:rPr>
          <w:rFonts w:ascii="Times New Roman" w:hAnsi="Times New Roman" w:cs="Times New Roman"/>
          <w:b/>
          <w:bCs/>
          <w:sz w:val="24"/>
          <w:szCs w:val="24"/>
          <w:lang w:val="en-MY" w:eastAsia="en-MY"/>
        </w:rPr>
      </w:pPr>
      <w:r w:rsidRPr="00BA63BA">
        <w:rPr>
          <w:rFonts w:ascii="Times New Roman" w:hAnsi="Times New Roman" w:cs="Times New Roman"/>
          <w:b/>
          <w:bCs/>
          <w:sz w:val="24"/>
          <w:szCs w:val="24"/>
        </w:rPr>
        <w:t>2.0 Literature Review</w:t>
      </w:r>
    </w:p>
    <w:p w14:paraId="3D4C94E5" w14:textId="77777777" w:rsidR="003D179F" w:rsidRPr="00BA63BA" w:rsidRDefault="003D179F"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 xml:space="preserve">2.1    Agency Cost Theory </w:t>
      </w:r>
    </w:p>
    <w:p w14:paraId="3DF8EB22" w14:textId="77777777"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 agency problem arises in the firm when the owners or savers who invest their money in firms do not play an active role in the business management. The owners delegate their responsibilities to the managers to operate their business. The managers could lead to expropriating the owner’s fund in a firm for their own pockets. For example, if the owners or savers buy the shares of the firms, the managers can use that money from owners to acquire perquisites, pay excessive compensation and make investments or decisions that can harm the interest of the outside investors (Jensen and </w:t>
      </w:r>
      <w:proofErr w:type="spellStart"/>
      <w:r w:rsidRPr="00BA63BA">
        <w:rPr>
          <w:rFonts w:ascii="Times New Roman" w:hAnsi="Times New Roman" w:cs="Times New Roman"/>
          <w:sz w:val="24"/>
          <w:szCs w:val="24"/>
        </w:rPr>
        <w:t>Meckling</w:t>
      </w:r>
      <w:proofErr w:type="spellEnd"/>
      <w:r w:rsidRPr="00BA63BA">
        <w:rPr>
          <w:rFonts w:ascii="Times New Roman" w:hAnsi="Times New Roman" w:cs="Times New Roman"/>
          <w:sz w:val="24"/>
          <w:szCs w:val="24"/>
        </w:rPr>
        <w:t xml:space="preserve"> 1976).</w:t>
      </w:r>
    </w:p>
    <w:p w14:paraId="11615E4E" w14:textId="77777777"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                Healy and Palepu (2001) have suggested several ways to overcome this agency problem. First, the optimal contract between the managers and investors such as the compensation agreement and debt contract help to secure the interest of equity holders and the debt holders. These contacts require mangers to disclose relevant information. As a result, this will enable the investors to monitor the compliance of contracts to evaluate whether the managers manage the firm’s resources efficiently. The second mechanism is the board of directors who are appointed by the shareholders can monitor and discipline the management on the behalf of outside holders. For example, the outside directors should ensure the managements act accordingly to improve financial reporting quality (Cheng and Courtenay, 2006). Lastly, the financial analyst and rating agencies can act as information intermediaries to uncover misappropriation of management. This will lead to market corporate control such hostile takeover and proxy contest to mitigate agency problems between the insiders and outside investors.</w:t>
      </w:r>
    </w:p>
    <w:p w14:paraId="5F6B9FD7" w14:textId="6707EB9D"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The voluntary disclosure can also be considered to reduce agency cost resulting from the emergence of information asymmetry between the contracting parties. Disclosure information enables shareholders to monitor managers through monitoring and bonding activities.  Watson et al. (2002) points out that those managers have the incentives to try and convince shareholders to act optimally and of the disclosure means of achieving this.</w:t>
      </w:r>
    </w:p>
    <w:p w14:paraId="3EDFDC37" w14:textId="252CE596"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 agency costs may differ in the companies that have different corporate environments such as leverage, size and listing status. Ball and Foster (1982) explain that the highly leverage firms tend to disclose more information to satisfy the needs of the loan holders and trustees. This will reduce the uncertainty of outside investors towards highly leverage firms that disclose more and thus reduce the cost capital. This is also related to the firms’ size, when larger firms tend to employ more leverage to use higher amounts of fixed interest securities as a financing technique because of the tax advantages. Lastly, Ahmed and </w:t>
      </w:r>
      <w:proofErr w:type="spellStart"/>
      <w:r w:rsidRPr="00BA63BA">
        <w:rPr>
          <w:rFonts w:ascii="Times New Roman" w:hAnsi="Times New Roman" w:cs="Times New Roman"/>
          <w:sz w:val="24"/>
          <w:szCs w:val="24"/>
        </w:rPr>
        <w:t>Courtis</w:t>
      </w:r>
      <w:proofErr w:type="spellEnd"/>
      <w:r w:rsidRPr="00BA63BA">
        <w:rPr>
          <w:rFonts w:ascii="Times New Roman" w:hAnsi="Times New Roman" w:cs="Times New Roman"/>
          <w:sz w:val="24"/>
          <w:szCs w:val="24"/>
        </w:rPr>
        <w:t xml:space="preserve"> (1999) found that the listing firms have a positive association to the disclosure level because listing firms reflect their responsive corporate reaction to regulatory requirements for more information.</w:t>
      </w:r>
    </w:p>
    <w:p w14:paraId="2D0FED0B" w14:textId="77777777" w:rsidR="003D179F" w:rsidRPr="00BA63BA" w:rsidRDefault="003D179F" w:rsidP="00991BDA">
      <w:pPr>
        <w:spacing w:after="0" w:line="240" w:lineRule="auto"/>
        <w:contextualSpacing/>
        <w:jc w:val="both"/>
        <w:rPr>
          <w:rFonts w:ascii="Times New Roman" w:hAnsi="Times New Roman" w:cs="Times New Roman"/>
          <w:sz w:val="24"/>
          <w:szCs w:val="24"/>
        </w:rPr>
      </w:pPr>
    </w:p>
    <w:p w14:paraId="57058846" w14:textId="6170B0D2" w:rsidR="003D179F" w:rsidRPr="00BA63BA" w:rsidRDefault="003D179F"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2.</w:t>
      </w:r>
      <w:r w:rsidR="00991BDA" w:rsidRPr="00BA63BA">
        <w:rPr>
          <w:rFonts w:ascii="Times New Roman" w:hAnsi="Times New Roman" w:cs="Times New Roman"/>
          <w:b/>
          <w:bCs/>
          <w:sz w:val="24"/>
          <w:szCs w:val="24"/>
        </w:rPr>
        <w:t>2</w:t>
      </w:r>
      <w:r w:rsidRPr="00BA63BA">
        <w:rPr>
          <w:rFonts w:ascii="Times New Roman" w:hAnsi="Times New Roman" w:cs="Times New Roman"/>
          <w:b/>
          <w:bCs/>
          <w:sz w:val="24"/>
          <w:szCs w:val="24"/>
        </w:rPr>
        <w:t xml:space="preserve">    Signaling Theory</w:t>
      </w:r>
    </w:p>
    <w:p w14:paraId="4DF0210F" w14:textId="2A063D58"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lastRenderedPageBreak/>
        <w:t>In economics, the signaling theory is precisely known as the contract theory which was developed by Spence (1973) to explain how the employee coveys the capabilities to his employer; but it can also help to explain company disclosure. According to Watson et al. (2002, page 291), “signaling is a reaction to</w:t>
      </w:r>
      <w:r w:rsidR="00991BDA" w:rsidRPr="00BA63BA">
        <w:rPr>
          <w:rFonts w:ascii="Times New Roman" w:hAnsi="Times New Roman" w:cs="Times New Roman"/>
          <w:sz w:val="24"/>
          <w:szCs w:val="24"/>
        </w:rPr>
        <w:t xml:space="preserve"> </w:t>
      </w:r>
      <w:r w:rsidRPr="00BA63BA">
        <w:rPr>
          <w:rFonts w:ascii="Times New Roman" w:hAnsi="Times New Roman" w:cs="Times New Roman"/>
          <w:sz w:val="24"/>
          <w:szCs w:val="24"/>
        </w:rPr>
        <w:t>informational asymmetry in market; in this case, the company has the information</w:t>
      </w:r>
      <w:r w:rsidR="00991BDA" w:rsidRPr="00BA63BA">
        <w:rPr>
          <w:rFonts w:ascii="Times New Roman" w:hAnsi="Times New Roman" w:cs="Times New Roman"/>
          <w:sz w:val="24"/>
          <w:szCs w:val="24"/>
        </w:rPr>
        <w:t xml:space="preserve"> </w:t>
      </w:r>
      <w:r w:rsidRPr="00BA63BA">
        <w:rPr>
          <w:rFonts w:ascii="Times New Roman" w:hAnsi="Times New Roman" w:cs="Times New Roman"/>
          <w:sz w:val="24"/>
          <w:szCs w:val="24"/>
        </w:rPr>
        <w:t xml:space="preserve">and not the investors.” The information asymmetry can be reduced when one party has more information signal to others. The managers in the high rating firms can differentiate their companies than lower rating firms by increasing the companies’ disclosure. </w:t>
      </w:r>
      <w:proofErr w:type="gramStart"/>
      <w:r w:rsidRPr="00BA63BA">
        <w:rPr>
          <w:rFonts w:ascii="Times New Roman" w:hAnsi="Times New Roman" w:cs="Times New Roman"/>
          <w:sz w:val="24"/>
          <w:szCs w:val="24"/>
        </w:rPr>
        <w:t>In order for</w:t>
      </w:r>
      <w:proofErr w:type="gramEnd"/>
      <w:r w:rsidRPr="00BA63BA">
        <w:rPr>
          <w:rFonts w:ascii="Times New Roman" w:hAnsi="Times New Roman" w:cs="Times New Roman"/>
          <w:sz w:val="24"/>
          <w:szCs w:val="24"/>
        </w:rPr>
        <w:t xml:space="preserve"> the signal to be successful, the information received by the recipient must be credible. The information </w:t>
      </w:r>
      <w:proofErr w:type="gramStart"/>
      <w:r w:rsidRPr="00BA63BA">
        <w:rPr>
          <w:rFonts w:ascii="Times New Roman" w:hAnsi="Times New Roman" w:cs="Times New Roman"/>
          <w:sz w:val="24"/>
          <w:szCs w:val="24"/>
        </w:rPr>
        <w:t>is considered to be</w:t>
      </w:r>
      <w:proofErr w:type="gramEnd"/>
      <w:r w:rsidRPr="00BA63BA">
        <w:rPr>
          <w:rFonts w:ascii="Times New Roman" w:hAnsi="Times New Roman" w:cs="Times New Roman"/>
          <w:sz w:val="24"/>
          <w:szCs w:val="24"/>
        </w:rPr>
        <w:t xml:space="preserve"> credible when the true quality of information is verifiable.</w:t>
      </w:r>
    </w:p>
    <w:p w14:paraId="494A42DC" w14:textId="77777777"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 role of information is important to signal an increase the firms’ securities </w:t>
      </w:r>
      <w:proofErr w:type="gramStart"/>
      <w:r w:rsidRPr="00BA63BA">
        <w:rPr>
          <w:rFonts w:ascii="Times New Roman" w:hAnsi="Times New Roman" w:cs="Times New Roman"/>
          <w:sz w:val="24"/>
          <w:szCs w:val="24"/>
        </w:rPr>
        <w:t>price</w:t>
      </w:r>
      <w:proofErr w:type="gramEnd"/>
      <w:r w:rsidRPr="00BA63BA">
        <w:rPr>
          <w:rFonts w:ascii="Times New Roman" w:hAnsi="Times New Roman" w:cs="Times New Roman"/>
          <w:sz w:val="24"/>
          <w:szCs w:val="24"/>
        </w:rPr>
        <w:t xml:space="preserve"> and this leads to a reduction in the cost equity of capital (Greenwald et al., 1984; Easley and O’Hara, 2004). Leland and Pyle (1977) explain the role of signals during the Initial Public Offering (IPO). They show that high rating firms should always send clear signals to the market when going public such as disclosing the firms’ financial strength, equity holdings, market portfolio and risk. To be reliable, the signal must be too costly to be imitated by their competitors or other companies. Without the signal sent to the market, the adverse selection problems appear in the market during the process of IPO.</w:t>
      </w:r>
    </w:p>
    <w:p w14:paraId="1C0778F5" w14:textId="298274C3" w:rsidR="003D179F" w:rsidRPr="00BA63BA" w:rsidRDefault="003D179F" w:rsidP="00991BDA">
      <w:pPr>
        <w:spacing w:after="0" w:line="240" w:lineRule="auto"/>
        <w:ind w:firstLine="720"/>
        <w:contextualSpacing/>
        <w:jc w:val="both"/>
        <w:rPr>
          <w:rFonts w:ascii="Times New Roman" w:hAnsi="Times New Roman" w:cs="Times New Roman"/>
          <w:sz w:val="24"/>
          <w:szCs w:val="24"/>
        </w:rPr>
      </w:pPr>
      <w:proofErr w:type="gramStart"/>
      <w:r w:rsidRPr="00BA63BA">
        <w:rPr>
          <w:rFonts w:ascii="Times New Roman" w:hAnsi="Times New Roman" w:cs="Times New Roman"/>
          <w:sz w:val="24"/>
          <w:szCs w:val="24"/>
        </w:rPr>
        <w:t>A number of</w:t>
      </w:r>
      <w:proofErr w:type="gramEnd"/>
      <w:r w:rsidRPr="00BA63BA">
        <w:rPr>
          <w:rFonts w:ascii="Times New Roman" w:hAnsi="Times New Roman" w:cs="Times New Roman"/>
          <w:sz w:val="24"/>
          <w:szCs w:val="24"/>
        </w:rPr>
        <w:t xml:space="preserve"> </w:t>
      </w:r>
      <w:r w:rsidR="00991BDA" w:rsidRPr="00BA63BA">
        <w:rPr>
          <w:rFonts w:ascii="Times New Roman" w:hAnsi="Times New Roman" w:cs="Times New Roman"/>
          <w:sz w:val="24"/>
          <w:szCs w:val="24"/>
        </w:rPr>
        <w:t>literatures</w:t>
      </w:r>
      <w:r w:rsidRPr="00BA63BA">
        <w:rPr>
          <w:rFonts w:ascii="Times New Roman" w:hAnsi="Times New Roman" w:cs="Times New Roman"/>
          <w:sz w:val="24"/>
          <w:szCs w:val="24"/>
        </w:rPr>
        <w:t xml:space="preserve"> have revealed corporate disclosure as a communication tool to signal the value of relevant information about future earnings. Gelb and </w:t>
      </w:r>
      <w:proofErr w:type="spellStart"/>
      <w:r w:rsidRPr="00BA63BA">
        <w:rPr>
          <w:rFonts w:ascii="Times New Roman" w:hAnsi="Times New Roman" w:cs="Times New Roman"/>
          <w:sz w:val="24"/>
          <w:szCs w:val="24"/>
        </w:rPr>
        <w:t>Zarowin</w:t>
      </w:r>
      <w:proofErr w:type="spellEnd"/>
      <w:r w:rsidRPr="00BA63BA">
        <w:rPr>
          <w:rFonts w:ascii="Times New Roman" w:hAnsi="Times New Roman" w:cs="Times New Roman"/>
          <w:sz w:val="24"/>
          <w:szCs w:val="24"/>
        </w:rPr>
        <w:t xml:space="preserve"> (2002) and </w:t>
      </w:r>
      <w:proofErr w:type="spellStart"/>
      <w:r w:rsidRPr="00BA63BA">
        <w:rPr>
          <w:rFonts w:ascii="Times New Roman" w:hAnsi="Times New Roman" w:cs="Times New Roman"/>
          <w:sz w:val="24"/>
          <w:szCs w:val="24"/>
        </w:rPr>
        <w:t>Lu</w:t>
      </w:r>
      <w:r w:rsidR="00896032" w:rsidRPr="00BA63BA">
        <w:rPr>
          <w:rFonts w:ascii="Times New Roman" w:hAnsi="Times New Roman" w:cs="Times New Roman"/>
          <w:sz w:val="24"/>
          <w:szCs w:val="24"/>
        </w:rPr>
        <w:t>n</w:t>
      </w:r>
      <w:r w:rsidRPr="00BA63BA">
        <w:rPr>
          <w:rFonts w:ascii="Times New Roman" w:hAnsi="Times New Roman" w:cs="Times New Roman"/>
          <w:sz w:val="24"/>
          <w:szCs w:val="24"/>
        </w:rPr>
        <w:t>dholm</w:t>
      </w:r>
      <w:proofErr w:type="spellEnd"/>
      <w:r w:rsidRPr="00BA63BA">
        <w:rPr>
          <w:rFonts w:ascii="Times New Roman" w:hAnsi="Times New Roman" w:cs="Times New Roman"/>
          <w:sz w:val="24"/>
          <w:szCs w:val="24"/>
        </w:rPr>
        <w:t xml:space="preserve"> and Myers (2002) found that greater disclosure is associated with stock prices that are more informative about future earnings. </w:t>
      </w:r>
      <w:proofErr w:type="spellStart"/>
      <w:r w:rsidRPr="00BA63BA">
        <w:rPr>
          <w:rFonts w:ascii="Times New Roman" w:hAnsi="Times New Roman" w:cs="Times New Roman"/>
          <w:sz w:val="24"/>
          <w:szCs w:val="24"/>
        </w:rPr>
        <w:t>Hussainey</w:t>
      </w:r>
      <w:proofErr w:type="spellEnd"/>
      <w:r w:rsidRPr="00BA63BA">
        <w:rPr>
          <w:rFonts w:ascii="Times New Roman" w:hAnsi="Times New Roman" w:cs="Times New Roman"/>
          <w:sz w:val="24"/>
          <w:szCs w:val="24"/>
        </w:rPr>
        <w:t xml:space="preserve"> et al. (2003) and Schlei</w:t>
      </w:r>
      <w:r w:rsidR="00D26227" w:rsidRPr="00BA63BA">
        <w:rPr>
          <w:rFonts w:ascii="Times New Roman" w:hAnsi="Times New Roman" w:cs="Times New Roman"/>
          <w:sz w:val="24"/>
          <w:szCs w:val="24"/>
        </w:rPr>
        <w:t>ch</w:t>
      </w:r>
      <w:r w:rsidRPr="00BA63BA">
        <w:rPr>
          <w:rFonts w:ascii="Times New Roman" w:hAnsi="Times New Roman" w:cs="Times New Roman"/>
          <w:sz w:val="24"/>
          <w:szCs w:val="24"/>
        </w:rPr>
        <w:t xml:space="preserve">er and Walker (1999) found that the greater non-financial disclosures in the annual reports are associated to the stock market ability to better anticipate future earnings. </w:t>
      </w:r>
      <w:r w:rsidR="00D26227" w:rsidRPr="00BA63BA">
        <w:rPr>
          <w:rFonts w:ascii="Times New Roman" w:hAnsi="Times New Roman" w:cs="Times New Roman"/>
          <w:sz w:val="24"/>
          <w:szCs w:val="24"/>
        </w:rPr>
        <w:t>Schleicher</w:t>
      </w:r>
      <w:r w:rsidRPr="00BA63BA">
        <w:rPr>
          <w:rFonts w:ascii="Times New Roman" w:hAnsi="Times New Roman" w:cs="Times New Roman"/>
          <w:sz w:val="24"/>
          <w:szCs w:val="24"/>
        </w:rPr>
        <w:t xml:space="preserve"> et al. (2007) found a positive relationship between narratives disclosure in the annual reports and share price anticipation of earnings for loss making firms.  </w:t>
      </w:r>
      <w:proofErr w:type="spellStart"/>
      <w:r w:rsidRPr="00BA63BA">
        <w:rPr>
          <w:rFonts w:ascii="Times New Roman" w:hAnsi="Times New Roman" w:cs="Times New Roman"/>
          <w:sz w:val="24"/>
          <w:szCs w:val="24"/>
        </w:rPr>
        <w:t>Hussainey</w:t>
      </w:r>
      <w:proofErr w:type="spellEnd"/>
      <w:r w:rsidRPr="00BA63BA">
        <w:rPr>
          <w:rFonts w:ascii="Times New Roman" w:hAnsi="Times New Roman" w:cs="Times New Roman"/>
          <w:sz w:val="24"/>
          <w:szCs w:val="24"/>
        </w:rPr>
        <w:t xml:space="preserve"> and </w:t>
      </w:r>
      <w:proofErr w:type="spellStart"/>
      <w:r w:rsidRPr="00BA63BA">
        <w:rPr>
          <w:rFonts w:ascii="Times New Roman" w:hAnsi="Times New Roman" w:cs="Times New Roman"/>
          <w:sz w:val="24"/>
          <w:szCs w:val="24"/>
        </w:rPr>
        <w:t>Aal-Eisa</w:t>
      </w:r>
      <w:proofErr w:type="spellEnd"/>
      <w:r w:rsidRPr="00BA63BA">
        <w:rPr>
          <w:rFonts w:ascii="Times New Roman" w:hAnsi="Times New Roman" w:cs="Times New Roman"/>
          <w:sz w:val="24"/>
          <w:szCs w:val="24"/>
        </w:rPr>
        <w:t xml:space="preserve"> (2009) conducted a similar study and found the same results for the decline of earning growth firms.</w:t>
      </w:r>
    </w:p>
    <w:p w14:paraId="65B811B0" w14:textId="77777777" w:rsidR="003D179F" w:rsidRPr="00BA63BA" w:rsidRDefault="003D179F" w:rsidP="00991BDA">
      <w:pPr>
        <w:spacing w:after="0" w:line="240" w:lineRule="auto"/>
        <w:contextualSpacing/>
        <w:jc w:val="both"/>
        <w:rPr>
          <w:rFonts w:ascii="Times New Roman" w:hAnsi="Times New Roman" w:cs="Times New Roman"/>
          <w:sz w:val="24"/>
          <w:szCs w:val="24"/>
        </w:rPr>
      </w:pPr>
    </w:p>
    <w:p w14:paraId="618B801A" w14:textId="6B7BFCAC" w:rsidR="003D179F" w:rsidRPr="00BA63BA" w:rsidRDefault="003D179F"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2.</w:t>
      </w:r>
      <w:r w:rsidR="00991BDA" w:rsidRPr="00BA63BA">
        <w:rPr>
          <w:rFonts w:ascii="Times New Roman" w:hAnsi="Times New Roman" w:cs="Times New Roman"/>
          <w:b/>
          <w:bCs/>
          <w:sz w:val="24"/>
          <w:szCs w:val="24"/>
        </w:rPr>
        <w:t>3</w:t>
      </w:r>
      <w:r w:rsidRPr="00BA63BA">
        <w:rPr>
          <w:rFonts w:ascii="Times New Roman" w:hAnsi="Times New Roman" w:cs="Times New Roman"/>
          <w:b/>
          <w:bCs/>
          <w:sz w:val="24"/>
          <w:szCs w:val="24"/>
        </w:rPr>
        <w:t xml:space="preserve">    Capital Markets Transaction Hypothesis</w:t>
      </w:r>
    </w:p>
    <w:p w14:paraId="0199F92B" w14:textId="77777777"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Healy and Palepu (1993. 1995) </w:t>
      </w:r>
      <w:proofErr w:type="spellStart"/>
      <w:r w:rsidRPr="00BA63BA">
        <w:rPr>
          <w:rFonts w:ascii="Times New Roman" w:hAnsi="Times New Roman" w:cs="Times New Roman"/>
          <w:sz w:val="24"/>
          <w:szCs w:val="24"/>
        </w:rPr>
        <w:t>hypothesise</w:t>
      </w:r>
      <w:proofErr w:type="spellEnd"/>
      <w:r w:rsidRPr="00BA63BA">
        <w:rPr>
          <w:rFonts w:ascii="Times New Roman" w:hAnsi="Times New Roman" w:cs="Times New Roman"/>
          <w:sz w:val="24"/>
          <w:szCs w:val="24"/>
        </w:rPr>
        <w:t xml:space="preserve"> that outside investors’ perception of companies </w:t>
      </w:r>
      <w:proofErr w:type="gramStart"/>
      <w:r w:rsidRPr="00BA63BA">
        <w:rPr>
          <w:rFonts w:ascii="Times New Roman" w:hAnsi="Times New Roman" w:cs="Times New Roman"/>
          <w:sz w:val="24"/>
          <w:szCs w:val="24"/>
        </w:rPr>
        <w:t>are</w:t>
      </w:r>
      <w:proofErr w:type="gramEnd"/>
      <w:r w:rsidRPr="00BA63BA">
        <w:rPr>
          <w:rFonts w:ascii="Times New Roman" w:hAnsi="Times New Roman" w:cs="Times New Roman"/>
          <w:sz w:val="24"/>
          <w:szCs w:val="24"/>
        </w:rPr>
        <w:t xml:space="preserve"> important to corporate managers to acquire leverage or to issue additional equity capital. Those corporate managers have superior information compared to outside investors regarding the companies’ future prospect since they are hired because they have expertise in managing the firms' investment and operating strategies. They gain this expertise through formal education, work experience in the industry, and investment in company-specific information. The information asymmetry between the managers and outside investors cannot be resolved and this will make it costly for the external financing (Myers and </w:t>
      </w:r>
      <w:proofErr w:type="spellStart"/>
      <w:r w:rsidRPr="00BA63BA">
        <w:rPr>
          <w:rFonts w:ascii="Times New Roman" w:hAnsi="Times New Roman" w:cs="Times New Roman"/>
          <w:sz w:val="24"/>
          <w:szCs w:val="24"/>
        </w:rPr>
        <w:t>Majluf</w:t>
      </w:r>
      <w:proofErr w:type="spellEnd"/>
      <w:r w:rsidRPr="00BA63BA">
        <w:rPr>
          <w:rFonts w:ascii="Times New Roman" w:hAnsi="Times New Roman" w:cs="Times New Roman"/>
          <w:sz w:val="24"/>
          <w:szCs w:val="24"/>
        </w:rPr>
        <w:t>, 1984). The managers who anticipate making market capital transactions have the incentives to reduce the asymmetry problems by using disclosure strategy and subsequently the cost of capital will fall. Increase voluntary disclosures can help investors understand managers' business strategies.</w:t>
      </w:r>
    </w:p>
    <w:p w14:paraId="042AA11E" w14:textId="77777777"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lastRenderedPageBreak/>
        <w:t>The outside investors demand high expected require rates of return for bearing information risk when there is an information asymmetry between managers and the investors (Barry and Brown, 1985, 1986; Merton, 1987). Manager can enjoy lower cost of capital by reducing the information risk associated with higher voluntary disclosure in the annual reports. This disclosure does not lead to increased physical transactions costs but instead gives rise to a transfer of wealth across investors. However, this solution is not possible because of costs associated with credible information disclosure.</w:t>
      </w:r>
    </w:p>
    <w:p w14:paraId="5B8342E4" w14:textId="77777777"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There are some empirical evidences that show the voluntary disclosure policies associated with the firms’ new capital. Lang and </w:t>
      </w:r>
      <w:proofErr w:type="spellStart"/>
      <w:r w:rsidRPr="00BA63BA">
        <w:rPr>
          <w:rFonts w:ascii="Times New Roman" w:hAnsi="Times New Roman" w:cs="Times New Roman"/>
          <w:sz w:val="24"/>
          <w:szCs w:val="24"/>
        </w:rPr>
        <w:t>Lundholm</w:t>
      </w:r>
      <w:proofErr w:type="spellEnd"/>
      <w:r w:rsidRPr="00BA63BA">
        <w:rPr>
          <w:rFonts w:ascii="Times New Roman" w:hAnsi="Times New Roman" w:cs="Times New Roman"/>
          <w:sz w:val="24"/>
          <w:szCs w:val="24"/>
        </w:rPr>
        <w:t xml:space="preserve"> (1993) examined cross-sectional variation in the analysts' published evaluations of firms' disclosure practices with firms’ characteristics. They found that the analyst’s rating disclosures were higher for firms issuing securities in the current or future period. In a subsequent paper, Lang and </w:t>
      </w:r>
      <w:proofErr w:type="spellStart"/>
      <w:r w:rsidRPr="00BA63BA">
        <w:rPr>
          <w:rFonts w:ascii="Times New Roman" w:hAnsi="Times New Roman" w:cs="Times New Roman"/>
          <w:sz w:val="24"/>
          <w:szCs w:val="24"/>
        </w:rPr>
        <w:t>Lundholm</w:t>
      </w:r>
      <w:proofErr w:type="spellEnd"/>
      <w:r w:rsidRPr="00BA63BA">
        <w:rPr>
          <w:rFonts w:ascii="Times New Roman" w:hAnsi="Times New Roman" w:cs="Times New Roman"/>
          <w:sz w:val="24"/>
          <w:szCs w:val="24"/>
        </w:rPr>
        <w:t xml:space="preserve"> (1997) examined the corporate disclosure activity around seasoned equity offerings. Beginning six months before the offering, the issuing firms dramatically increased their disclosure activity, particularly for the categories of disclosure over which firms have the most discretion. Finally, the firms that are associated with increases in analyst disclosure have an abnormally high frequency of subsequent public debt offers (Healy et al., 1999). </w:t>
      </w:r>
    </w:p>
    <w:p w14:paraId="55AA0376" w14:textId="77777777" w:rsidR="003D179F" w:rsidRPr="00BA63BA" w:rsidRDefault="003D179F" w:rsidP="00991BDA">
      <w:pPr>
        <w:spacing w:after="0" w:line="240" w:lineRule="auto"/>
        <w:contextualSpacing/>
        <w:jc w:val="both"/>
        <w:rPr>
          <w:rFonts w:ascii="Times New Roman" w:hAnsi="Times New Roman" w:cs="Times New Roman"/>
          <w:sz w:val="24"/>
          <w:szCs w:val="24"/>
        </w:rPr>
      </w:pPr>
    </w:p>
    <w:p w14:paraId="03813924" w14:textId="2B819633" w:rsidR="003D179F" w:rsidRPr="00BA63BA" w:rsidRDefault="003D179F"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2.</w:t>
      </w:r>
      <w:r w:rsidR="00991BDA" w:rsidRPr="00BA63BA">
        <w:rPr>
          <w:rFonts w:ascii="Times New Roman" w:hAnsi="Times New Roman" w:cs="Times New Roman"/>
          <w:b/>
          <w:bCs/>
          <w:sz w:val="24"/>
          <w:szCs w:val="24"/>
        </w:rPr>
        <w:t>4</w:t>
      </w:r>
      <w:r w:rsidRPr="00BA63BA">
        <w:rPr>
          <w:rFonts w:ascii="Times New Roman" w:hAnsi="Times New Roman" w:cs="Times New Roman"/>
          <w:b/>
          <w:bCs/>
          <w:sz w:val="24"/>
          <w:szCs w:val="24"/>
        </w:rPr>
        <w:t xml:space="preserve">    </w:t>
      </w:r>
      <w:bookmarkStart w:id="1" w:name="_Hlk25954556"/>
      <w:r w:rsidRPr="00BA63BA">
        <w:rPr>
          <w:rFonts w:ascii="Times New Roman" w:hAnsi="Times New Roman" w:cs="Times New Roman"/>
          <w:b/>
          <w:bCs/>
          <w:sz w:val="24"/>
          <w:szCs w:val="24"/>
        </w:rPr>
        <w:t>Positive Accounting Theory</w:t>
      </w:r>
      <w:bookmarkEnd w:id="1"/>
    </w:p>
    <w:p w14:paraId="0DD37138" w14:textId="77777777"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t>This theory predicts the managers’ actions for choosing the accounting policy when markets are in a semi-strong efficient form; there are significant costs in writing and enforcing the contracts and political costs arising out of the regulatory process (Watt and Zimmerman, 1978). The main idea of this literature is to explain the role of contracting and political consideration in explaining the manager accounting policies when there are agency and asymmetry problems. Two contracts are examined which are debt contracts (contract between company and its lender) and compensation contract (contract between the manager and shareholders).</w:t>
      </w:r>
    </w:p>
    <w:p w14:paraId="5AE6EBEF" w14:textId="77777777"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The extent of whether managers change accounting policies or make accrual provisions to  lower the cost of violating debts covenants written in the term accounting numbers, to increase the value of earning-based bonuses under compensation contracts, or to reduce the likelihood of implicit or explicit taxes has been tested in the empirical studies. Researchers found that companies that use accounting methods to manipulate earnings are small and have relatively high leverage. The companies’ accrual decisions appear to be affected by compensation contracts.</w:t>
      </w:r>
    </w:p>
    <w:p w14:paraId="6686FD4A" w14:textId="78484E2F"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While most researchers of the accounting theory focus on the association between the compensation contracts and accounting policy, some of them view the choice of accounting policies as part of the contracting processes itself. Several researchers argue that the use of the accounting information in lending and compensation contract should be viewed as endogenous (</w:t>
      </w:r>
      <w:proofErr w:type="spellStart"/>
      <w:r w:rsidRPr="00BA63BA">
        <w:rPr>
          <w:rFonts w:ascii="Times New Roman" w:hAnsi="Times New Roman" w:cs="Times New Roman"/>
          <w:sz w:val="24"/>
          <w:szCs w:val="24"/>
        </w:rPr>
        <w:t>Holthausen</w:t>
      </w:r>
      <w:proofErr w:type="spellEnd"/>
      <w:r w:rsidRPr="00BA63BA">
        <w:rPr>
          <w:rFonts w:ascii="Times New Roman" w:hAnsi="Times New Roman" w:cs="Times New Roman"/>
          <w:sz w:val="24"/>
          <w:szCs w:val="24"/>
        </w:rPr>
        <w:t xml:space="preserve"> and Leftwich, 1983; Watts and Zimmerman, 1990; Smith and Watts, 1992; Skinner 199</w:t>
      </w:r>
      <w:r w:rsidR="00CC7E9C" w:rsidRPr="00BA63BA">
        <w:rPr>
          <w:rFonts w:ascii="Times New Roman" w:hAnsi="Times New Roman" w:cs="Times New Roman"/>
          <w:sz w:val="24"/>
          <w:szCs w:val="24"/>
        </w:rPr>
        <w:t>4</w:t>
      </w:r>
      <w:r w:rsidRPr="00BA63BA">
        <w:rPr>
          <w:rFonts w:ascii="Times New Roman" w:hAnsi="Times New Roman" w:cs="Times New Roman"/>
          <w:sz w:val="24"/>
          <w:szCs w:val="24"/>
        </w:rPr>
        <w:t>). As a result, the optimal compensation contract and accounting policy are influenced by the types of companies’ assets and its investment opportunities. Watts and Zimmer</w:t>
      </w:r>
      <w:r w:rsidR="00CC7E9C" w:rsidRPr="00BA63BA">
        <w:rPr>
          <w:rFonts w:ascii="Times New Roman" w:hAnsi="Times New Roman" w:cs="Times New Roman"/>
          <w:sz w:val="24"/>
          <w:szCs w:val="24"/>
        </w:rPr>
        <w:t>man</w:t>
      </w:r>
      <w:r w:rsidRPr="00BA63BA">
        <w:rPr>
          <w:rFonts w:ascii="Times New Roman" w:hAnsi="Times New Roman" w:cs="Times New Roman"/>
          <w:sz w:val="24"/>
          <w:szCs w:val="24"/>
        </w:rPr>
        <w:t xml:space="preserve"> (1983) examine the role of the voluntary interim reporting as an ex ante </w:t>
      </w:r>
      <w:r w:rsidRPr="00BA63BA">
        <w:rPr>
          <w:rFonts w:ascii="Times New Roman" w:hAnsi="Times New Roman" w:cs="Times New Roman"/>
          <w:sz w:val="24"/>
          <w:szCs w:val="24"/>
        </w:rPr>
        <w:lastRenderedPageBreak/>
        <w:t xml:space="preserve">contracting to prevent management opportunistic </w:t>
      </w:r>
      <w:proofErr w:type="spellStart"/>
      <w:r w:rsidRPr="00BA63BA">
        <w:rPr>
          <w:rFonts w:ascii="Times New Roman" w:hAnsi="Times New Roman" w:cs="Times New Roman"/>
          <w:sz w:val="24"/>
          <w:szCs w:val="24"/>
        </w:rPr>
        <w:t>behaviours</w:t>
      </w:r>
      <w:proofErr w:type="spellEnd"/>
      <w:r w:rsidRPr="00BA63BA">
        <w:rPr>
          <w:rFonts w:ascii="Times New Roman" w:hAnsi="Times New Roman" w:cs="Times New Roman"/>
          <w:sz w:val="24"/>
          <w:szCs w:val="24"/>
        </w:rPr>
        <w:t>. The role of ex ante in the contraction process is also examined by other researchers (Zimmer, 1986; Christie and Zimmerman, 1994; Skinner, 1994).</w:t>
      </w:r>
    </w:p>
    <w:p w14:paraId="4D521B19" w14:textId="77777777" w:rsidR="003D179F" w:rsidRPr="00BA63BA" w:rsidRDefault="003D179F" w:rsidP="00991BDA">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It is difficult to interpret empirical accounting theory because there are several regularities regarding the companies’ accounting policies (</w:t>
      </w:r>
      <w:proofErr w:type="spellStart"/>
      <w:r w:rsidRPr="00BA63BA">
        <w:rPr>
          <w:rFonts w:ascii="Times New Roman" w:hAnsi="Times New Roman" w:cs="Times New Roman"/>
          <w:sz w:val="24"/>
          <w:szCs w:val="24"/>
        </w:rPr>
        <w:t>Holthausen</w:t>
      </w:r>
      <w:proofErr w:type="spellEnd"/>
      <w:r w:rsidRPr="00BA63BA">
        <w:rPr>
          <w:rFonts w:ascii="Times New Roman" w:hAnsi="Times New Roman" w:cs="Times New Roman"/>
          <w:sz w:val="24"/>
          <w:szCs w:val="24"/>
        </w:rPr>
        <w:t xml:space="preserve"> and Leftwich, 1983; Watts and Zimmerman, 1990).  One of the examples is that the size is viewed proxy for political sensitivity. However, this could also be viewed for other proxies such as accounting policies, oil and gas industry and others. Also, as Healy and Palepu (1990) and DeAngelo et al. (1996) viewed, the management’s accounting decision for distress firms with highly leverage may in part reflect to preserve cash and change in investment opportunities.</w:t>
      </w:r>
    </w:p>
    <w:p w14:paraId="61E66D9D" w14:textId="77777777" w:rsidR="003D179F" w:rsidRPr="00BA63BA" w:rsidRDefault="003D179F" w:rsidP="00991BDA">
      <w:pPr>
        <w:spacing w:after="0" w:line="240" w:lineRule="auto"/>
        <w:contextualSpacing/>
        <w:jc w:val="both"/>
        <w:rPr>
          <w:rFonts w:ascii="Times New Roman" w:hAnsi="Times New Roman" w:cs="Times New Roman"/>
          <w:sz w:val="24"/>
          <w:szCs w:val="24"/>
        </w:rPr>
      </w:pPr>
    </w:p>
    <w:p w14:paraId="60081093" w14:textId="351A77B2" w:rsidR="003D179F" w:rsidRPr="00BA63BA" w:rsidRDefault="003D179F"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2.</w:t>
      </w:r>
      <w:r w:rsidR="00991BDA" w:rsidRPr="00BA63BA">
        <w:rPr>
          <w:rFonts w:ascii="Times New Roman" w:hAnsi="Times New Roman" w:cs="Times New Roman"/>
          <w:b/>
          <w:bCs/>
          <w:sz w:val="24"/>
          <w:szCs w:val="24"/>
        </w:rPr>
        <w:t>5</w:t>
      </w:r>
      <w:r w:rsidRPr="00BA63BA">
        <w:rPr>
          <w:rFonts w:ascii="Times New Roman" w:hAnsi="Times New Roman" w:cs="Times New Roman"/>
          <w:b/>
          <w:bCs/>
          <w:sz w:val="24"/>
          <w:szCs w:val="24"/>
        </w:rPr>
        <w:t xml:space="preserve">    Disclosure Level and Cost Equity Capital</w:t>
      </w:r>
    </w:p>
    <w:p w14:paraId="6447EC88" w14:textId="77777777" w:rsidR="003311C7" w:rsidRPr="00BA63BA" w:rsidRDefault="003311C7" w:rsidP="003311C7">
      <w:pPr>
        <w:spacing w:after="0" w:line="240" w:lineRule="auto"/>
        <w:jc w:val="both"/>
        <w:rPr>
          <w:rFonts w:ascii="Times New Roman" w:hAnsi="Times New Roman" w:cs="Times New Roman"/>
          <w:b/>
          <w:sz w:val="24"/>
          <w:szCs w:val="24"/>
        </w:rPr>
      </w:pPr>
    </w:p>
    <w:p w14:paraId="3649FD6E" w14:textId="77777777" w:rsidR="003311C7" w:rsidRPr="00BA63BA" w:rsidRDefault="00F11360" w:rsidP="003311C7">
      <w:pPr>
        <w:spacing w:after="0" w:line="360" w:lineRule="auto"/>
        <w:jc w:val="both"/>
        <w:rPr>
          <w:rFonts w:ascii="Times New Roman" w:hAnsi="Times New Roman" w:cs="Times New Roman"/>
          <w:b/>
          <w:color w:val="FFFFFF" w:themeColor="background1"/>
          <w:sz w:val="24"/>
          <w:szCs w:val="24"/>
        </w:rPr>
      </w:pPr>
      <w:r>
        <w:rPr>
          <w:rFonts w:ascii="Times New Roman" w:hAnsi="Times New Roman" w:cs="Times New Roman"/>
          <w:b/>
          <w:noProof/>
          <w:color w:val="FFFFFF" w:themeColor="background1"/>
          <w:sz w:val="24"/>
          <w:szCs w:val="24"/>
          <w:lang w:val="en-MY" w:eastAsia="en-MY"/>
        </w:rPr>
        <w:pict w14:anchorId="02B6431C">
          <v:shapetype id="_x0000_t202" coordsize="21600,21600" o:spt="202" path="m,l,21600r21600,l21600,xe">
            <v:stroke joinstyle="miter"/>
            <v:path gradientshapeok="t" o:connecttype="rect"/>
          </v:shapetype>
          <v:shape id="_x0000_s1059" type="#_x0000_t202" style="position:absolute;left:0;text-align:left;margin-left:103.15pt;margin-top:2.05pt;width:219.65pt;height:27.8pt;z-index:251659264" strokeweight="1pt">
            <v:textbox style="mso-next-textbox:#_x0000_s1059">
              <w:txbxContent>
                <w:p w14:paraId="657DF807" w14:textId="77777777" w:rsidR="003311C7" w:rsidRPr="00D50733" w:rsidRDefault="003311C7" w:rsidP="003311C7">
                  <w:pPr>
                    <w:jc w:val="center"/>
                  </w:pPr>
                  <w:r>
                    <w:t>ENHANCE PUBLIC DISCLOSURE</w:t>
                  </w:r>
                </w:p>
              </w:txbxContent>
            </v:textbox>
          </v:shape>
        </w:pict>
      </w:r>
      <w:r w:rsidR="003311C7" w:rsidRPr="00BA63BA">
        <w:rPr>
          <w:rFonts w:ascii="Times New Roman" w:hAnsi="Times New Roman" w:cs="Times New Roman"/>
          <w:b/>
          <w:color w:val="FFFFFF" w:themeColor="background1"/>
          <w:sz w:val="24"/>
          <w:szCs w:val="24"/>
        </w:rPr>
        <w:t>k</w:t>
      </w:r>
    </w:p>
    <w:p w14:paraId="4F8C22DA" w14:textId="77777777" w:rsidR="003311C7" w:rsidRPr="00BA63BA" w:rsidRDefault="00F11360" w:rsidP="003311C7">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25392D37">
          <v:shapetype id="_x0000_t32" coordsize="21600,21600" o:spt="32" o:oned="t" path="m,l21600,21600e" filled="f">
            <v:path arrowok="t" fillok="f" o:connecttype="none"/>
            <o:lock v:ext="edit" shapetype="t"/>
          </v:shapetype>
          <v:shape id="_x0000_s1068" type="#_x0000_t32" style="position:absolute;left:0;text-align:left;margin-left:308.2pt;margin-top:16.75pt;width:.1pt;height:6pt;z-index:251668480" o:connectortype="straight" strokeweight="1.5pt"/>
        </w:pict>
      </w:r>
      <w:r>
        <w:rPr>
          <w:rFonts w:ascii="Times New Roman" w:hAnsi="Times New Roman" w:cs="Times New Roman"/>
          <w:b/>
          <w:noProof/>
          <w:sz w:val="24"/>
          <w:szCs w:val="24"/>
          <w:lang w:val="en-MY" w:eastAsia="en-MY"/>
        </w:rPr>
        <w:pict w14:anchorId="1D88589F">
          <v:shape id="_x0000_s1069" type="#_x0000_t32" style="position:absolute;left:0;text-align:left;margin-left:120.05pt;margin-top:16.75pt;width:0;height:7.35pt;z-index:251669504" o:connectortype="straight" strokeweight="1.5pt"/>
        </w:pict>
      </w:r>
      <w:r>
        <w:rPr>
          <w:rFonts w:ascii="Times New Roman" w:hAnsi="Times New Roman" w:cs="Times New Roman"/>
          <w:b/>
          <w:noProof/>
          <w:sz w:val="24"/>
          <w:szCs w:val="24"/>
          <w:lang w:val="en-MY" w:eastAsia="en-MY"/>
        </w:rPr>
        <w:pict w14:anchorId="12BC9ABD">
          <v:shape id="_x0000_s1065" type="#_x0000_t32" style="position:absolute;left:0;text-align:left;margin-left:119.25pt;margin-top:16.75pt;width:188.95pt;height:.05pt;z-index:251665408" o:connectortype="straight" strokeweight="1.5pt"/>
        </w:pict>
      </w:r>
      <w:r>
        <w:rPr>
          <w:rFonts w:ascii="Times New Roman" w:hAnsi="Times New Roman" w:cs="Times New Roman"/>
          <w:b/>
          <w:noProof/>
          <w:sz w:val="24"/>
          <w:szCs w:val="24"/>
          <w:lang w:val="en-MY" w:eastAsia="en-MY"/>
        </w:rPr>
        <w:pict w14:anchorId="6889095E">
          <v:shape id="_x0000_s1067" type="#_x0000_t32" style="position:absolute;left:0;text-align:left;margin-left:194.6pt;margin-top:9.15pt;width:.05pt;height:7.6pt;z-index:251667456" o:connectortype="straight" strokeweight="1.5pt"/>
        </w:pict>
      </w:r>
    </w:p>
    <w:p w14:paraId="4E21E062" w14:textId="77777777" w:rsidR="003311C7" w:rsidRPr="00BA63BA" w:rsidRDefault="00F11360" w:rsidP="003311C7">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6C394AA4">
          <v:shape id="_x0000_s1062" type="#_x0000_t202" style="position:absolute;left:0;text-align:left;margin-left:199.55pt;margin-top:3.4pt;width:203.85pt;height:42pt;z-index:251662336" strokeweight="1pt">
            <v:textbox style="mso-next-textbox:#_x0000_s1062">
              <w:txbxContent>
                <w:p w14:paraId="2CA117A2" w14:textId="77777777" w:rsidR="003311C7" w:rsidRPr="00D50733" w:rsidRDefault="003311C7" w:rsidP="003311C7">
                  <w:pPr>
                    <w:jc w:val="center"/>
                  </w:pPr>
                  <w:r>
                    <w:t>Reduced information asymmetry between investors</w:t>
                  </w:r>
                </w:p>
                <w:p w14:paraId="3B147BB1" w14:textId="77777777" w:rsidR="003311C7" w:rsidRPr="000F5605" w:rsidRDefault="003311C7" w:rsidP="003311C7"/>
              </w:txbxContent>
            </v:textbox>
          </v:shape>
        </w:pict>
      </w:r>
      <w:r>
        <w:rPr>
          <w:rFonts w:ascii="Times New Roman" w:hAnsi="Times New Roman" w:cs="Times New Roman"/>
          <w:b/>
          <w:noProof/>
          <w:sz w:val="24"/>
          <w:szCs w:val="24"/>
          <w:lang w:val="en-MY" w:eastAsia="en-MY"/>
        </w:rPr>
        <w:pict w14:anchorId="6CF15A34">
          <v:shape id="_x0000_s1061" type="#_x0000_t202" style="position:absolute;left:0;text-align:left;margin-left:.05pt;margin-top:3.4pt;width:194.45pt;height:42pt;z-index:251661312" strokeweight="1pt">
            <v:textbox style="mso-next-textbox:#_x0000_s1061">
              <w:txbxContent>
                <w:p w14:paraId="1BDA06FA" w14:textId="77777777" w:rsidR="003311C7" w:rsidRPr="00D50733" w:rsidRDefault="003311C7" w:rsidP="003311C7">
                  <w:pPr>
                    <w:jc w:val="center"/>
                  </w:pPr>
                  <w:r>
                    <w:t>Reduced information asymmetry between managers and investors</w:t>
                  </w:r>
                </w:p>
              </w:txbxContent>
            </v:textbox>
          </v:shape>
        </w:pict>
      </w:r>
    </w:p>
    <w:p w14:paraId="04A9EB9E" w14:textId="77777777" w:rsidR="003311C7" w:rsidRPr="00BA63BA" w:rsidRDefault="003311C7" w:rsidP="003311C7">
      <w:pPr>
        <w:spacing w:after="0" w:line="360" w:lineRule="auto"/>
        <w:jc w:val="both"/>
        <w:rPr>
          <w:rFonts w:ascii="Times New Roman" w:hAnsi="Times New Roman" w:cs="Times New Roman"/>
          <w:b/>
          <w:sz w:val="24"/>
          <w:szCs w:val="24"/>
        </w:rPr>
      </w:pPr>
    </w:p>
    <w:p w14:paraId="05C0C1FA" w14:textId="77777777" w:rsidR="003311C7" w:rsidRPr="00BA63BA" w:rsidRDefault="00F11360" w:rsidP="003311C7">
      <w:pPr>
        <w:spacing w:after="0" w:line="360" w:lineRule="auto"/>
        <w:ind w:left="720"/>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021E7B00">
          <v:shape id="_x0000_s1070" type="#_x0000_t32" style="position:absolute;left:0;text-align:left;margin-left:308.3pt;margin-top:3.95pt;width:.75pt;height:19.6pt;z-index:251670528" o:connectortype="straight" strokeweight="1.5pt"/>
        </w:pict>
      </w:r>
      <w:r>
        <w:rPr>
          <w:rFonts w:ascii="Times New Roman" w:hAnsi="Times New Roman" w:cs="Times New Roman"/>
          <w:b/>
          <w:noProof/>
          <w:sz w:val="24"/>
          <w:szCs w:val="24"/>
        </w:rPr>
        <w:pict w14:anchorId="66615716">
          <v:shape id="_x0000_s1076" type="#_x0000_t32" style="position:absolute;left:0;text-align:left;margin-left:152.5pt;margin-top:13.8pt;width:155.75pt;height:.05pt;z-index:251676672" o:connectortype="straight" strokeweight="2pt"/>
        </w:pict>
      </w:r>
      <w:r>
        <w:rPr>
          <w:rFonts w:ascii="Times New Roman" w:hAnsi="Times New Roman" w:cs="Times New Roman"/>
          <w:b/>
          <w:noProof/>
          <w:sz w:val="24"/>
          <w:szCs w:val="24"/>
          <w:lang w:val="en-MY" w:eastAsia="en-MY"/>
        </w:rPr>
        <w:pict w14:anchorId="3F56C7A7">
          <v:shape id="_x0000_s1074" type="#_x0000_t32" style="position:absolute;left:0;text-align:left;margin-left:152.5pt;margin-top:2.6pt;width:.05pt;height:11.25pt;z-index:251674624" o:connectortype="straight" strokeweight="1.5pt"/>
        </w:pict>
      </w:r>
      <w:r>
        <w:rPr>
          <w:rFonts w:ascii="Times New Roman" w:hAnsi="Times New Roman" w:cs="Times New Roman"/>
          <w:b/>
          <w:noProof/>
          <w:sz w:val="24"/>
          <w:szCs w:val="24"/>
          <w:lang w:val="en-MY" w:eastAsia="en-MY"/>
        </w:rPr>
        <w:pict w14:anchorId="7F362848">
          <v:shape id="_x0000_s1071" type="#_x0000_t32" style="position:absolute;left:0;text-align:left;margin-left:119.25pt;margin-top:4pt;width:.05pt;height:19.6pt;z-index:251671552" o:connectortype="straight" strokeweight="1.5pt"/>
        </w:pict>
      </w:r>
    </w:p>
    <w:p w14:paraId="4EDE426D" w14:textId="77777777" w:rsidR="003311C7" w:rsidRPr="00BA63BA" w:rsidRDefault="00F11360" w:rsidP="003311C7">
      <w:pPr>
        <w:spacing w:after="0" w:line="360" w:lineRule="auto"/>
        <w:ind w:left="720"/>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5BB45175">
          <v:shape id="_x0000_s1064" type="#_x0000_t202" style="position:absolute;left:0;text-align:left;margin-left:199.55pt;margin-top:2.95pt;width:203.85pt;height:29.25pt;z-index:251664384" strokeweight="1pt">
            <v:textbox style="mso-next-textbox:#_x0000_s1064">
              <w:txbxContent>
                <w:p w14:paraId="164A57D9" w14:textId="77777777" w:rsidR="003311C7" w:rsidRPr="00D50733" w:rsidRDefault="003311C7" w:rsidP="003311C7">
                  <w:pPr>
                    <w:jc w:val="center"/>
                  </w:pPr>
                  <w:r>
                    <w:t xml:space="preserve"> Increased market liquidity for securities</w:t>
                  </w:r>
                </w:p>
              </w:txbxContent>
            </v:textbox>
          </v:shape>
        </w:pict>
      </w:r>
      <w:r>
        <w:rPr>
          <w:rFonts w:ascii="Times New Roman" w:hAnsi="Times New Roman" w:cs="Times New Roman"/>
          <w:b/>
          <w:noProof/>
          <w:sz w:val="24"/>
          <w:szCs w:val="24"/>
          <w:lang w:val="en-MY" w:eastAsia="en-MY"/>
        </w:rPr>
        <w:pict w14:anchorId="2FA5E6B9">
          <v:shape id="_x0000_s1063" type="#_x0000_t202" style="position:absolute;left:0;text-align:left;margin-left:.05pt;margin-top:2.9pt;width:194.45pt;height:29.25pt;z-index:251663360" strokeweight="1pt">
            <v:textbox style="mso-next-textbox:#_x0000_s1063">
              <w:txbxContent>
                <w:p w14:paraId="3D18EE0F" w14:textId="77777777" w:rsidR="003311C7" w:rsidRPr="00D50733" w:rsidRDefault="003311C7" w:rsidP="003311C7">
                  <w:pPr>
                    <w:jc w:val="center"/>
                  </w:pPr>
                  <w:r>
                    <w:t xml:space="preserve"> Reduced estimation risk</w:t>
                  </w:r>
                </w:p>
              </w:txbxContent>
            </v:textbox>
          </v:shape>
        </w:pict>
      </w:r>
    </w:p>
    <w:p w14:paraId="3FA728B0" w14:textId="77777777" w:rsidR="003311C7" w:rsidRPr="00BA63BA" w:rsidRDefault="00F11360" w:rsidP="003311C7">
      <w:pPr>
        <w:spacing w:after="0" w:line="360" w:lineRule="auto"/>
        <w:ind w:left="720"/>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0A910C4B">
          <v:shape id="_x0000_s1072" type="#_x0000_t32" style="position:absolute;left:0;text-align:left;margin-left:309.05pt;margin-top:11.5pt;width:.05pt;height:11.25pt;z-index:251672576" o:connectortype="straight" strokeweight="1.5pt"/>
        </w:pict>
      </w:r>
      <w:r>
        <w:rPr>
          <w:rFonts w:ascii="Times New Roman" w:hAnsi="Times New Roman" w:cs="Times New Roman"/>
          <w:b/>
          <w:noProof/>
          <w:sz w:val="24"/>
          <w:szCs w:val="24"/>
          <w:lang w:val="en-MY" w:eastAsia="en-MY"/>
        </w:rPr>
        <w:pict w14:anchorId="79915EDA">
          <v:shape id="_x0000_s1073" type="#_x0000_t32" style="position:absolute;left:0;text-align:left;margin-left:120.05pt;margin-top:11.5pt;width:0;height:11.25pt;z-index:251673600" o:connectortype="straight" strokeweight="1.5pt"/>
        </w:pict>
      </w:r>
    </w:p>
    <w:p w14:paraId="0AD0C0A8" w14:textId="77777777" w:rsidR="003311C7" w:rsidRPr="00BA63BA" w:rsidRDefault="00F11360" w:rsidP="003311C7">
      <w:pPr>
        <w:tabs>
          <w:tab w:val="left" w:pos="3855"/>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MY" w:eastAsia="en-MY"/>
        </w:rPr>
        <w:pict w14:anchorId="58F0C795">
          <v:shape id="_x0000_s1060" type="#_x0000_t202" style="position:absolute;left:0;text-align:left;margin-left:103.15pt;margin-top:16.05pt;width:219.65pt;height:27.8pt;z-index:251660288" strokeweight="1pt">
            <v:textbox style="mso-next-textbox:#_x0000_s1060">
              <w:txbxContent>
                <w:p w14:paraId="00718135" w14:textId="77777777" w:rsidR="003311C7" w:rsidRPr="00D50733" w:rsidRDefault="003311C7" w:rsidP="003311C7">
                  <w:pPr>
                    <w:jc w:val="center"/>
                  </w:pPr>
                  <w:r>
                    <w:t>REDUCED COST of EQUITY CAPITAL</w:t>
                  </w:r>
                </w:p>
              </w:txbxContent>
            </v:textbox>
          </v:shape>
        </w:pict>
      </w:r>
      <w:r>
        <w:rPr>
          <w:rFonts w:ascii="Times New Roman" w:hAnsi="Times New Roman" w:cs="Times New Roman"/>
          <w:b/>
          <w:noProof/>
          <w:sz w:val="24"/>
          <w:szCs w:val="24"/>
          <w:lang w:val="en-MY" w:eastAsia="en-MY"/>
        </w:rPr>
        <w:pict w14:anchorId="282578AC">
          <v:shape id="_x0000_s1066" type="#_x0000_t32" style="position:absolute;left:0;text-align:left;margin-left:119.3pt;margin-top:2.05pt;width:189.75pt;height:0;z-index:251666432" o:connectortype="straight" strokeweight="1.5pt"/>
        </w:pict>
      </w:r>
      <w:r>
        <w:rPr>
          <w:rFonts w:ascii="Times New Roman" w:hAnsi="Times New Roman" w:cs="Times New Roman"/>
          <w:b/>
          <w:noProof/>
          <w:sz w:val="24"/>
          <w:szCs w:val="24"/>
        </w:rPr>
        <w:pict w14:anchorId="40931448">
          <v:shape id="_x0000_s1075" type="#_x0000_t32" style="position:absolute;left:0;text-align:left;margin-left:199.55pt;margin-top:2.05pt;width:0;height:14pt;z-index:251675648" o:connectortype="straight">
            <v:stroke endarrow="block"/>
          </v:shape>
        </w:pict>
      </w:r>
    </w:p>
    <w:p w14:paraId="057BA2E9" w14:textId="77777777" w:rsidR="003311C7" w:rsidRPr="00BA63BA" w:rsidRDefault="003311C7" w:rsidP="003311C7">
      <w:pPr>
        <w:tabs>
          <w:tab w:val="left" w:pos="3855"/>
        </w:tabs>
        <w:spacing w:after="0" w:line="360" w:lineRule="auto"/>
        <w:jc w:val="both"/>
        <w:rPr>
          <w:rFonts w:ascii="Times New Roman" w:hAnsi="Times New Roman" w:cs="Times New Roman"/>
          <w:b/>
          <w:sz w:val="24"/>
          <w:szCs w:val="24"/>
        </w:rPr>
      </w:pPr>
    </w:p>
    <w:p w14:paraId="732568C2" w14:textId="77777777" w:rsidR="003311C7" w:rsidRPr="00BA63BA" w:rsidRDefault="003311C7" w:rsidP="003311C7">
      <w:pPr>
        <w:tabs>
          <w:tab w:val="left" w:pos="3855"/>
        </w:tabs>
        <w:spacing w:after="0" w:line="360" w:lineRule="auto"/>
        <w:jc w:val="both"/>
        <w:rPr>
          <w:rFonts w:ascii="Times New Roman" w:hAnsi="Times New Roman" w:cs="Times New Roman"/>
          <w:b/>
          <w:sz w:val="24"/>
          <w:szCs w:val="24"/>
        </w:rPr>
      </w:pPr>
    </w:p>
    <w:p w14:paraId="35C48FC1" w14:textId="501CAC1F" w:rsidR="003311C7" w:rsidRPr="00BA63BA" w:rsidRDefault="003311C7" w:rsidP="003311C7">
      <w:pPr>
        <w:spacing w:after="0" w:line="360" w:lineRule="auto"/>
        <w:ind w:left="720"/>
        <w:jc w:val="center"/>
        <w:rPr>
          <w:rFonts w:ascii="Times New Roman" w:hAnsi="Times New Roman" w:cs="Times New Roman"/>
          <w:sz w:val="24"/>
          <w:szCs w:val="24"/>
        </w:rPr>
      </w:pPr>
      <w:r w:rsidRPr="00BA63BA">
        <w:rPr>
          <w:rFonts w:ascii="Times New Roman" w:hAnsi="Times New Roman" w:cs="Times New Roman"/>
          <w:b/>
          <w:sz w:val="24"/>
          <w:szCs w:val="24"/>
        </w:rPr>
        <w:t xml:space="preserve">Figure 2.1 Disclosure Benefit Framework </w:t>
      </w:r>
      <w:r w:rsidRPr="00BA63BA">
        <w:rPr>
          <w:rFonts w:ascii="Times New Roman" w:hAnsi="Times New Roman" w:cs="Times New Roman"/>
          <w:sz w:val="24"/>
          <w:szCs w:val="24"/>
        </w:rPr>
        <w:t>(</w:t>
      </w: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2000)</w:t>
      </w:r>
    </w:p>
    <w:p w14:paraId="7309729E" w14:textId="5C6BFC8D" w:rsidR="003D179F" w:rsidRPr="00BA63BA" w:rsidRDefault="003D179F" w:rsidP="00991BDA">
      <w:pPr>
        <w:spacing w:after="0" w:line="240" w:lineRule="auto"/>
        <w:contextualSpacing/>
        <w:jc w:val="both"/>
        <w:rPr>
          <w:rFonts w:ascii="Times New Roman" w:hAnsi="Times New Roman" w:cs="Times New Roman"/>
          <w:sz w:val="24"/>
          <w:szCs w:val="24"/>
        </w:rPr>
      </w:pPr>
      <w:r w:rsidRPr="00BA63BA">
        <w:rPr>
          <w:rFonts w:ascii="Times New Roman" w:hAnsi="Times New Roman" w:cs="Times New Roman"/>
          <w:sz w:val="24"/>
          <w:szCs w:val="24"/>
        </w:rPr>
        <w:t>Disclosure has been widely used by management to communicate firm information to the outside investors. Most of the theories relating to disclosure predict a negative relationship between the disclosure and the cost of capital (Healy and Palepu, 2001). Some of the empirical findings suggest that increased disclosure reduces firm’s cost of capital by reducing the information asymmetry (</w:t>
      </w:r>
      <w:proofErr w:type="spellStart"/>
      <w:r w:rsidRPr="00BA63BA">
        <w:rPr>
          <w:rFonts w:ascii="Times New Roman" w:hAnsi="Times New Roman" w:cs="Times New Roman"/>
          <w:sz w:val="24"/>
          <w:szCs w:val="24"/>
        </w:rPr>
        <w:t>Diamon</w:t>
      </w:r>
      <w:proofErr w:type="spellEnd"/>
      <w:r w:rsidRPr="00BA63BA">
        <w:rPr>
          <w:rFonts w:ascii="Times New Roman" w:hAnsi="Times New Roman" w:cs="Times New Roman"/>
          <w:sz w:val="24"/>
          <w:szCs w:val="24"/>
        </w:rPr>
        <w:t xml:space="preserve"> and </w:t>
      </w:r>
      <w:proofErr w:type="spellStart"/>
      <w:r w:rsidRPr="00BA63BA">
        <w:rPr>
          <w:rFonts w:ascii="Times New Roman" w:hAnsi="Times New Roman" w:cs="Times New Roman"/>
          <w:sz w:val="24"/>
          <w:szCs w:val="24"/>
        </w:rPr>
        <w:t>Verrecchia</w:t>
      </w:r>
      <w:proofErr w:type="spellEnd"/>
      <w:r w:rsidRPr="00BA63BA">
        <w:rPr>
          <w:rFonts w:ascii="Times New Roman" w:hAnsi="Times New Roman" w:cs="Times New Roman"/>
          <w:sz w:val="24"/>
          <w:szCs w:val="24"/>
        </w:rPr>
        <w:t xml:space="preserve">, 1991; </w:t>
      </w: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1997). There are two streams of studies that support the negative relationship between the disclosure level and the cost of capital. The first stream is represented by </w:t>
      </w:r>
      <w:proofErr w:type="spellStart"/>
      <w:r w:rsidRPr="00BA63BA">
        <w:rPr>
          <w:rFonts w:ascii="Times New Roman" w:hAnsi="Times New Roman" w:cs="Times New Roman"/>
          <w:sz w:val="24"/>
          <w:szCs w:val="24"/>
        </w:rPr>
        <w:t>Amihud</w:t>
      </w:r>
      <w:proofErr w:type="spellEnd"/>
      <w:r w:rsidRPr="00BA63BA">
        <w:rPr>
          <w:rFonts w:ascii="Times New Roman" w:hAnsi="Times New Roman" w:cs="Times New Roman"/>
          <w:sz w:val="24"/>
          <w:szCs w:val="24"/>
        </w:rPr>
        <w:t xml:space="preserve"> and Mendelson (1986) and Diamond and </w:t>
      </w:r>
      <w:proofErr w:type="spellStart"/>
      <w:r w:rsidRPr="00BA63BA">
        <w:rPr>
          <w:rFonts w:ascii="Times New Roman" w:hAnsi="Times New Roman" w:cs="Times New Roman"/>
          <w:sz w:val="24"/>
          <w:szCs w:val="24"/>
        </w:rPr>
        <w:t>Verrecchia</w:t>
      </w:r>
      <w:proofErr w:type="spellEnd"/>
      <w:r w:rsidRPr="00BA63BA">
        <w:rPr>
          <w:rFonts w:ascii="Times New Roman" w:hAnsi="Times New Roman" w:cs="Times New Roman"/>
          <w:sz w:val="24"/>
          <w:szCs w:val="24"/>
        </w:rPr>
        <w:t xml:space="preserve"> (1991), who have stated that the firm’s securities have a higher cost of equity capital with the bid-ask spreading more on asset pricing because investors demand compensation for the added transaction cost.  The adverse selection component and cost of equity can be reduced by disclosing more of the firm’s information. When the investors have more precise information, they are willing to place a large order in a </w:t>
      </w:r>
      <w:proofErr w:type="gramStart"/>
      <w:r w:rsidRPr="00BA63BA">
        <w:rPr>
          <w:rFonts w:ascii="Times New Roman" w:hAnsi="Times New Roman" w:cs="Times New Roman"/>
          <w:sz w:val="24"/>
          <w:szCs w:val="24"/>
        </w:rPr>
        <w:t>particular firm’s</w:t>
      </w:r>
      <w:proofErr w:type="gramEnd"/>
      <w:r w:rsidRPr="00BA63BA">
        <w:rPr>
          <w:rFonts w:ascii="Times New Roman" w:hAnsi="Times New Roman" w:cs="Times New Roman"/>
          <w:sz w:val="24"/>
          <w:szCs w:val="24"/>
        </w:rPr>
        <w:t xml:space="preserve"> stock than they otherwise would. This will result in a high demand for the firm’s securities which will increase the firm’s stock price with a reduced cost of capital. </w:t>
      </w:r>
    </w:p>
    <w:p w14:paraId="078AD9E8" w14:textId="362EADEC" w:rsidR="003D179F" w:rsidRPr="00BA63BA" w:rsidRDefault="003D179F" w:rsidP="003311C7">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lastRenderedPageBreak/>
        <w:t xml:space="preserve">The second stream of theoretical research suggests that the increased disclosure can reduce estimation of risk pertaining to the parameter of the payoff distribution for a firm (Barry and Brown, 1985; Clarkson et al., 1996). Klein and </w:t>
      </w:r>
      <w:proofErr w:type="spellStart"/>
      <w:r w:rsidRPr="00BA63BA">
        <w:rPr>
          <w:rFonts w:ascii="Times New Roman" w:hAnsi="Times New Roman" w:cs="Times New Roman"/>
          <w:sz w:val="24"/>
          <w:szCs w:val="24"/>
        </w:rPr>
        <w:t>Bawa</w:t>
      </w:r>
      <w:proofErr w:type="spellEnd"/>
      <w:r w:rsidRPr="00BA63BA">
        <w:rPr>
          <w:rFonts w:ascii="Times New Roman" w:hAnsi="Times New Roman" w:cs="Times New Roman"/>
          <w:sz w:val="24"/>
          <w:szCs w:val="24"/>
        </w:rPr>
        <w:t xml:space="preserve"> (1976) were the first researchers who used the estimation risk in their </w:t>
      </w:r>
      <w:proofErr w:type="gramStart"/>
      <w:r w:rsidRPr="00BA63BA">
        <w:rPr>
          <w:rFonts w:ascii="Times New Roman" w:hAnsi="Times New Roman" w:cs="Times New Roman"/>
          <w:sz w:val="24"/>
          <w:szCs w:val="24"/>
        </w:rPr>
        <w:t>study</w:t>
      </w:r>
      <w:proofErr w:type="gramEnd"/>
      <w:r w:rsidRPr="00BA63BA">
        <w:rPr>
          <w:rFonts w:ascii="Times New Roman" w:hAnsi="Times New Roman" w:cs="Times New Roman"/>
          <w:sz w:val="24"/>
          <w:szCs w:val="24"/>
        </w:rPr>
        <w:t xml:space="preserve"> and this was then followed by Barry and Brown (1985), </w:t>
      </w:r>
      <w:proofErr w:type="spellStart"/>
      <w:r w:rsidRPr="00BA63BA">
        <w:rPr>
          <w:rFonts w:ascii="Times New Roman" w:hAnsi="Times New Roman" w:cs="Times New Roman"/>
          <w:sz w:val="24"/>
          <w:szCs w:val="24"/>
        </w:rPr>
        <w:t>Handa</w:t>
      </w:r>
      <w:proofErr w:type="spellEnd"/>
      <w:r w:rsidRPr="00BA63BA">
        <w:rPr>
          <w:rFonts w:ascii="Times New Roman" w:hAnsi="Times New Roman" w:cs="Times New Roman"/>
          <w:sz w:val="24"/>
          <w:szCs w:val="24"/>
        </w:rPr>
        <w:t xml:space="preserve"> and Lin (1993), Clarkson et al. (1996), and others. </w:t>
      </w:r>
    </w:p>
    <w:p w14:paraId="6958BE68" w14:textId="77777777" w:rsidR="003D179F" w:rsidRPr="00BA63BA" w:rsidRDefault="003D179F" w:rsidP="003311C7">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These researchers estimated the parameters of return distributions based on the economic data of a firm. The economic data of a firm includes the firm’s return history and other information about the firm. Barry and Brown (1986) and </w:t>
      </w:r>
      <w:proofErr w:type="spellStart"/>
      <w:r w:rsidRPr="00BA63BA">
        <w:rPr>
          <w:rFonts w:ascii="Times New Roman" w:hAnsi="Times New Roman" w:cs="Times New Roman"/>
          <w:sz w:val="24"/>
          <w:szCs w:val="24"/>
        </w:rPr>
        <w:t>Handa</w:t>
      </w:r>
      <w:proofErr w:type="spellEnd"/>
      <w:r w:rsidRPr="00BA63BA">
        <w:rPr>
          <w:rFonts w:ascii="Times New Roman" w:hAnsi="Times New Roman" w:cs="Times New Roman"/>
          <w:sz w:val="24"/>
          <w:szCs w:val="24"/>
        </w:rPr>
        <w:t xml:space="preserve"> and Linn (1993) used the Bayesian model to extract information available concerning securities to determine the uncertainty of the true parameter of the payoff distribution for the firm. They concluded that the estimation risk cannot be diversified away when there is a variation of information across assets. This risk differs from the traditional Capital Asset Pricing Model (CAPM) formula to estimate market beta where beta is known to investors. </w:t>
      </w:r>
    </w:p>
    <w:p w14:paraId="2FF380BA" w14:textId="77777777" w:rsidR="003D179F" w:rsidRPr="00BA63BA" w:rsidRDefault="003D179F" w:rsidP="003311C7">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There are relatively empirical studies towards the effects of the disclosure of information on the cost equity capital.  </w:t>
      </w: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(1997) examined a direct association between the disclosure level and the cost equity capital for 122 firms in the manufacturing industry. She constructed her own disclosure index to be used as a proxy for the disclosure level. She found little evidence of association between the level of information disclosure and the cost of cost of equity capital. However, she documented that the firms that had a low analyst’s following had a strong negative association between the level of information disclosed and the cost equity capital. Hail (2002) conducted a similar study by using 27 items of disclosure by the Swiss Banking Institute as a proxy for disclosure level of information. He found a negative association between the disclosure level and the cost of equity capital for 73 non-financial firms listed on the Swiss Exchange.</w:t>
      </w:r>
    </w:p>
    <w:p w14:paraId="648B9668" w14:textId="77777777" w:rsidR="003311C7" w:rsidRPr="00BA63BA" w:rsidRDefault="003D179F" w:rsidP="003311C7">
      <w:pPr>
        <w:spacing w:after="0" w:line="240" w:lineRule="auto"/>
        <w:ind w:firstLine="720"/>
        <w:contextualSpacing/>
        <w:jc w:val="both"/>
        <w:rPr>
          <w:rFonts w:ascii="Times New Roman" w:hAnsi="Times New Roman" w:cs="Times New Roman"/>
          <w:sz w:val="24"/>
          <w:szCs w:val="24"/>
        </w:rPr>
      </w:pP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and </w:t>
      </w:r>
      <w:proofErr w:type="spellStart"/>
      <w:r w:rsidRPr="00BA63BA">
        <w:rPr>
          <w:rFonts w:ascii="Times New Roman" w:hAnsi="Times New Roman" w:cs="Times New Roman"/>
          <w:sz w:val="24"/>
          <w:szCs w:val="24"/>
        </w:rPr>
        <w:t>Plumlee</w:t>
      </w:r>
      <w:proofErr w:type="spellEnd"/>
      <w:r w:rsidRPr="00BA63BA">
        <w:rPr>
          <w:rFonts w:ascii="Times New Roman" w:hAnsi="Times New Roman" w:cs="Times New Roman"/>
          <w:sz w:val="24"/>
          <w:szCs w:val="24"/>
        </w:rPr>
        <w:t xml:space="preserve"> (2002) used the Association for Investment Management and Research (AIMR) disclosure rankings which were annual report disclosures, other publication disclosures (timely in nature) and investor relations activities to find evidence in the association towards cost equity capital. They found that the greater the annual report disclosures the cost equity of capital decreased, but the </w:t>
      </w:r>
      <w:proofErr w:type="gramStart"/>
      <w:r w:rsidRPr="00BA63BA">
        <w:rPr>
          <w:rFonts w:ascii="Times New Roman" w:hAnsi="Times New Roman" w:cs="Times New Roman"/>
          <w:sz w:val="24"/>
          <w:szCs w:val="24"/>
        </w:rPr>
        <w:t>more timely</w:t>
      </w:r>
      <w:proofErr w:type="gramEnd"/>
      <w:r w:rsidRPr="00BA63BA">
        <w:rPr>
          <w:rFonts w:ascii="Times New Roman" w:hAnsi="Times New Roman" w:cs="Times New Roman"/>
          <w:sz w:val="24"/>
          <w:szCs w:val="24"/>
        </w:rPr>
        <w:t xml:space="preserve"> disclosure of information increased the equity capital. They did not find any evidence of association between the investor relations activities and the cost equity capital. Relating to the role of quality information, Easley and O’Hara (2004) demonstrated that the quality of information could affect the asset’s price and the cost equity capital. The more precise the public (private) information, the cost of equity capital decreased (increased) (</w:t>
      </w:r>
      <w:proofErr w:type="spellStart"/>
      <w:r w:rsidRPr="00BA63BA">
        <w:rPr>
          <w:rFonts w:ascii="Times New Roman" w:hAnsi="Times New Roman" w:cs="Times New Roman"/>
          <w:sz w:val="24"/>
          <w:szCs w:val="24"/>
        </w:rPr>
        <w:t>Batosan</w:t>
      </w:r>
      <w:proofErr w:type="spellEnd"/>
      <w:r w:rsidRPr="00BA63BA">
        <w:rPr>
          <w:rFonts w:ascii="Times New Roman" w:hAnsi="Times New Roman" w:cs="Times New Roman"/>
          <w:sz w:val="24"/>
          <w:szCs w:val="24"/>
        </w:rPr>
        <w:t xml:space="preserve"> et al., 2004). </w:t>
      </w:r>
    </w:p>
    <w:p w14:paraId="18B6A280" w14:textId="3184DA19" w:rsidR="003311C7" w:rsidRPr="00BA63BA" w:rsidRDefault="003311C7" w:rsidP="003311C7">
      <w:pPr>
        <w:spacing w:after="0" w:line="240" w:lineRule="auto"/>
        <w:contextualSpacing/>
        <w:jc w:val="both"/>
        <w:rPr>
          <w:rFonts w:ascii="Times New Roman" w:hAnsi="Times New Roman" w:cs="Times New Roman"/>
          <w:sz w:val="24"/>
          <w:szCs w:val="24"/>
        </w:rPr>
      </w:pPr>
    </w:p>
    <w:p w14:paraId="50AFC381" w14:textId="04F9D877" w:rsidR="003311C7" w:rsidRPr="00BA63BA" w:rsidRDefault="003311C7" w:rsidP="003311C7">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3.0 Conclusion</w:t>
      </w:r>
    </w:p>
    <w:p w14:paraId="3F1FAF3C" w14:textId="77777777" w:rsidR="003311C7" w:rsidRPr="00BA63BA" w:rsidRDefault="003311C7" w:rsidP="003311C7">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Economic theories suggest that any increase in the disclosure of information reduces the firm’s cost of capital. The positive accounting theory explains that managers use information disclosure as investment opportunities for the firms. This supports many other theories such as stock compensation hypothesis, management signaling hypothesis, capital markets’ transaction hypothesis and other theories that increase disclosure and reduce information asymmetry for the outside users. These </w:t>
      </w:r>
      <w:r w:rsidRPr="00BA63BA">
        <w:rPr>
          <w:rFonts w:ascii="Times New Roman" w:hAnsi="Times New Roman" w:cs="Times New Roman"/>
          <w:sz w:val="24"/>
          <w:szCs w:val="24"/>
        </w:rPr>
        <w:lastRenderedPageBreak/>
        <w:t>will increase the security value by preventing a disvalue and any adverse selection problems of the securities. Under the agency theory, the disclosure helps mangers to reduce the agency costs between the management and shareholders and the shareholders and debt holders.</w:t>
      </w:r>
    </w:p>
    <w:p w14:paraId="3D7C1BF6" w14:textId="01073C42" w:rsidR="003311C7" w:rsidRPr="00BA63BA" w:rsidRDefault="003311C7" w:rsidP="003311C7">
      <w:pPr>
        <w:spacing w:after="0" w:line="240" w:lineRule="auto"/>
        <w:ind w:firstLine="720"/>
        <w:contextualSpacing/>
        <w:jc w:val="both"/>
        <w:rPr>
          <w:rFonts w:ascii="Times New Roman" w:hAnsi="Times New Roman" w:cs="Times New Roman"/>
          <w:sz w:val="24"/>
          <w:szCs w:val="24"/>
        </w:rPr>
      </w:pPr>
      <w:r w:rsidRPr="00BA63BA">
        <w:rPr>
          <w:rFonts w:ascii="Times New Roman" w:hAnsi="Times New Roman" w:cs="Times New Roman"/>
          <w:sz w:val="24"/>
          <w:szCs w:val="24"/>
        </w:rPr>
        <w:t xml:space="preserve">Specifically increasing voluntary disclosures in the annual reports serve to the reduce information asymmetry between the managers and investors and thus reduces the companies’ cost equity capital. Theoretically, the reduction of information asymmetry can reduce the cost of equity capital in two ways. First, the investors demand a risk premium of the information risk. An increase in the disclosure information reduces the information risk, which in turn reduces the risk premium effectively causing a lower cost of equity. As a result, the information disclosure lowers the transaction cost of investors by increasing the liquidity of the market and the demand of the firms’ securities.  Second, the level of disclosure reduces uncertainties of the outside investors regarding the true parameters of the payoff distribution for the firm. Most of the researchers found that firms that disclosed more information benefitted in the reduction of the cost of equity capital by reduce information asymmetry and increase market liquidity.  </w:t>
      </w:r>
    </w:p>
    <w:p w14:paraId="3D271BEF" w14:textId="5DF30CE3" w:rsidR="00B53720" w:rsidRPr="00BA63BA" w:rsidRDefault="00B53720" w:rsidP="00991BDA">
      <w:pPr>
        <w:spacing w:after="0" w:line="240" w:lineRule="auto"/>
        <w:contextualSpacing/>
        <w:jc w:val="both"/>
        <w:rPr>
          <w:rFonts w:ascii="Times New Roman" w:hAnsi="Times New Roman" w:cs="Times New Roman"/>
          <w:sz w:val="24"/>
          <w:szCs w:val="24"/>
        </w:rPr>
      </w:pPr>
    </w:p>
    <w:p w14:paraId="504259C6" w14:textId="7A7CD389" w:rsidR="00552B96" w:rsidRPr="00BA63BA" w:rsidRDefault="00552B96" w:rsidP="00991BDA">
      <w:pPr>
        <w:spacing w:after="0" w:line="240" w:lineRule="auto"/>
        <w:contextualSpacing/>
        <w:jc w:val="both"/>
        <w:rPr>
          <w:rFonts w:ascii="Times New Roman" w:hAnsi="Times New Roman" w:cs="Times New Roman"/>
          <w:b/>
          <w:bCs/>
          <w:sz w:val="24"/>
          <w:szCs w:val="24"/>
        </w:rPr>
      </w:pPr>
      <w:r w:rsidRPr="00BA63BA">
        <w:rPr>
          <w:rFonts w:ascii="Times New Roman" w:hAnsi="Times New Roman" w:cs="Times New Roman"/>
          <w:b/>
          <w:bCs/>
          <w:sz w:val="24"/>
          <w:szCs w:val="24"/>
        </w:rPr>
        <w:t>4.0 Acknowledgement</w:t>
      </w:r>
    </w:p>
    <w:p w14:paraId="256A6E19" w14:textId="0C43A4AE" w:rsidR="00B25D38" w:rsidRDefault="009B7DF8" w:rsidP="00991BDA">
      <w:pPr>
        <w:spacing w:after="0" w:line="240" w:lineRule="auto"/>
        <w:contextualSpacing/>
        <w:jc w:val="both"/>
        <w:rPr>
          <w:rFonts w:ascii="Times New Roman" w:hAnsi="Times New Roman" w:cs="Times New Roman"/>
          <w:sz w:val="24"/>
          <w:szCs w:val="24"/>
        </w:rPr>
      </w:pPr>
      <w:r w:rsidRPr="009B7DF8">
        <w:rPr>
          <w:rFonts w:ascii="Times New Roman" w:hAnsi="Times New Roman" w:cs="Times New Roman"/>
          <w:sz w:val="24"/>
          <w:szCs w:val="24"/>
        </w:rPr>
        <w:t xml:space="preserve">This paper is part of Master of Accountancy Dissertation </w:t>
      </w:r>
      <w:proofErr w:type="spellStart"/>
      <w:r w:rsidRPr="009B7DF8">
        <w:rPr>
          <w:rFonts w:ascii="Times New Roman" w:hAnsi="Times New Roman" w:cs="Times New Roman"/>
          <w:sz w:val="24"/>
          <w:szCs w:val="24"/>
        </w:rPr>
        <w:t>Universiti</w:t>
      </w:r>
      <w:proofErr w:type="spellEnd"/>
      <w:r w:rsidRPr="009B7DF8">
        <w:rPr>
          <w:rFonts w:ascii="Times New Roman" w:hAnsi="Times New Roman" w:cs="Times New Roman"/>
          <w:sz w:val="24"/>
          <w:szCs w:val="24"/>
        </w:rPr>
        <w:t xml:space="preserve"> </w:t>
      </w:r>
      <w:proofErr w:type="spellStart"/>
      <w:r w:rsidRPr="009B7DF8">
        <w:rPr>
          <w:rFonts w:ascii="Times New Roman" w:hAnsi="Times New Roman" w:cs="Times New Roman"/>
          <w:sz w:val="24"/>
          <w:szCs w:val="24"/>
        </w:rPr>
        <w:t>Teknologi</w:t>
      </w:r>
      <w:proofErr w:type="spellEnd"/>
      <w:r w:rsidRPr="009B7DF8">
        <w:rPr>
          <w:rFonts w:ascii="Times New Roman" w:hAnsi="Times New Roman" w:cs="Times New Roman"/>
          <w:sz w:val="24"/>
          <w:szCs w:val="24"/>
        </w:rPr>
        <w:t xml:space="preserve"> MARA (UiTM).</w:t>
      </w:r>
    </w:p>
    <w:p w14:paraId="1A116B79" w14:textId="77777777" w:rsidR="009B7DF8" w:rsidRPr="00BA63BA" w:rsidRDefault="009B7DF8" w:rsidP="00991BDA">
      <w:pPr>
        <w:spacing w:after="0" w:line="240" w:lineRule="auto"/>
        <w:contextualSpacing/>
        <w:jc w:val="both"/>
        <w:rPr>
          <w:rFonts w:ascii="Times New Roman" w:hAnsi="Times New Roman" w:cs="Times New Roman"/>
          <w:color w:val="231F20"/>
          <w:sz w:val="24"/>
          <w:szCs w:val="24"/>
          <w:lang w:val="en-MY"/>
        </w:rPr>
      </w:pPr>
    </w:p>
    <w:p w14:paraId="7F0E84BA" w14:textId="65D572A8" w:rsidR="00F14711" w:rsidRPr="00BA63BA" w:rsidRDefault="00552B96" w:rsidP="00991BDA">
      <w:pPr>
        <w:spacing w:after="0" w:line="240" w:lineRule="auto"/>
        <w:jc w:val="both"/>
        <w:rPr>
          <w:rFonts w:ascii="Times New Roman" w:hAnsi="Times New Roman" w:cs="Times New Roman"/>
          <w:b/>
          <w:bCs/>
          <w:sz w:val="24"/>
          <w:szCs w:val="24"/>
        </w:rPr>
      </w:pPr>
      <w:r w:rsidRPr="00BA63BA">
        <w:rPr>
          <w:rFonts w:ascii="Times New Roman" w:hAnsi="Times New Roman" w:cs="Times New Roman"/>
          <w:b/>
          <w:bCs/>
          <w:sz w:val="24"/>
          <w:szCs w:val="24"/>
        </w:rPr>
        <w:t xml:space="preserve">5.0 </w:t>
      </w:r>
      <w:r w:rsidR="003311C7" w:rsidRPr="00BA63BA">
        <w:rPr>
          <w:rFonts w:ascii="Times New Roman" w:hAnsi="Times New Roman" w:cs="Times New Roman"/>
          <w:b/>
          <w:bCs/>
          <w:sz w:val="24"/>
          <w:szCs w:val="24"/>
        </w:rPr>
        <w:t>References</w:t>
      </w:r>
    </w:p>
    <w:p w14:paraId="4D1D8A73" w14:textId="77777777" w:rsidR="00F30FC1" w:rsidRPr="00BA63BA" w:rsidRDefault="00F30FC1" w:rsidP="00991BDA">
      <w:pPr>
        <w:spacing w:after="0" w:line="240" w:lineRule="auto"/>
        <w:jc w:val="both"/>
        <w:rPr>
          <w:rFonts w:ascii="Times New Roman" w:hAnsi="Times New Roman" w:cs="Times New Roman"/>
          <w:sz w:val="24"/>
          <w:szCs w:val="24"/>
        </w:rPr>
      </w:pPr>
    </w:p>
    <w:p w14:paraId="01553AD8" w14:textId="77777777" w:rsidR="00F30FC1" w:rsidRPr="00BA63BA" w:rsidRDefault="00F30FC1" w:rsidP="00991BDA">
      <w:pPr>
        <w:spacing w:after="0" w:line="240" w:lineRule="auto"/>
        <w:ind w:left="703" w:hanging="703"/>
        <w:jc w:val="both"/>
        <w:rPr>
          <w:rFonts w:ascii="Times New Roman" w:hAnsi="Times New Roman" w:cs="Times New Roman"/>
          <w:sz w:val="24"/>
          <w:szCs w:val="24"/>
          <w:lang w:val="en-MY"/>
        </w:rPr>
      </w:pPr>
      <w:r w:rsidRPr="00BA63BA">
        <w:rPr>
          <w:rFonts w:ascii="Times New Roman" w:hAnsi="Times New Roman" w:cs="Times New Roman"/>
          <w:sz w:val="24"/>
          <w:szCs w:val="24"/>
          <w:lang w:val="en-MY"/>
        </w:rPr>
        <w:t xml:space="preserve">Abdullah, A., &amp; Ismail, K. N. I. K. (2008). Disclosure of Voluntary Accounting Ratios by Malaysian Listed Companies. </w:t>
      </w:r>
      <w:r w:rsidRPr="00BA63BA">
        <w:rPr>
          <w:rFonts w:ascii="Times New Roman" w:hAnsi="Times New Roman" w:cs="Times New Roman"/>
          <w:i/>
          <w:iCs/>
          <w:sz w:val="24"/>
          <w:szCs w:val="24"/>
          <w:lang w:val="en-MY"/>
        </w:rPr>
        <w:t>Journal of Financial Reporting and Accounting, 6</w:t>
      </w:r>
      <w:r w:rsidRPr="00BA63BA">
        <w:rPr>
          <w:rFonts w:ascii="Times New Roman" w:hAnsi="Times New Roman" w:cs="Times New Roman"/>
          <w:sz w:val="24"/>
          <w:szCs w:val="24"/>
          <w:lang w:val="en-MY"/>
        </w:rPr>
        <w:t>(1), 1-20.</w:t>
      </w:r>
    </w:p>
    <w:p w14:paraId="683A7370" w14:textId="77777777" w:rsidR="00F30FC1" w:rsidRPr="00BA63BA" w:rsidRDefault="00F30FC1" w:rsidP="00991BDA">
      <w:pPr>
        <w:spacing w:after="0" w:line="240" w:lineRule="auto"/>
        <w:ind w:left="703" w:hanging="703"/>
        <w:jc w:val="both"/>
        <w:rPr>
          <w:rFonts w:ascii="Times New Roman" w:hAnsi="Times New Roman" w:cs="Times New Roman"/>
          <w:sz w:val="24"/>
          <w:szCs w:val="24"/>
        </w:rPr>
      </w:pPr>
      <w:r w:rsidRPr="00BA63BA">
        <w:rPr>
          <w:rFonts w:ascii="Times New Roman" w:hAnsi="Times New Roman" w:cs="Times New Roman"/>
          <w:sz w:val="24"/>
          <w:szCs w:val="24"/>
        </w:rPr>
        <w:t>Accountants Today (</w:t>
      </w:r>
      <w:proofErr w:type="gramStart"/>
      <w:r w:rsidRPr="00BA63BA">
        <w:rPr>
          <w:rFonts w:ascii="Times New Roman" w:hAnsi="Times New Roman" w:cs="Times New Roman"/>
          <w:sz w:val="24"/>
          <w:szCs w:val="24"/>
        </w:rPr>
        <w:t>January,</w:t>
      </w:r>
      <w:proofErr w:type="gramEnd"/>
      <w:r w:rsidRPr="00BA63BA">
        <w:rPr>
          <w:rFonts w:ascii="Times New Roman" w:hAnsi="Times New Roman" w:cs="Times New Roman"/>
          <w:sz w:val="24"/>
          <w:szCs w:val="24"/>
        </w:rPr>
        <w:t xml:space="preserve"> 2007). Amendments to the Listing Requirements in Relation to Announcements and Circulars, </w:t>
      </w:r>
      <w:r w:rsidRPr="00BA63BA">
        <w:rPr>
          <w:rFonts w:ascii="Times New Roman" w:hAnsi="Times New Roman" w:cs="Times New Roman"/>
          <w:i/>
          <w:sz w:val="24"/>
          <w:szCs w:val="24"/>
        </w:rPr>
        <w:t>20</w:t>
      </w:r>
      <w:r w:rsidR="003110C2" w:rsidRPr="00BA63BA">
        <w:rPr>
          <w:rFonts w:ascii="Times New Roman" w:hAnsi="Times New Roman" w:cs="Times New Roman"/>
          <w:sz w:val="24"/>
          <w:szCs w:val="24"/>
        </w:rPr>
        <w:t xml:space="preserve"> (1), 28</w:t>
      </w:r>
    </w:p>
    <w:p w14:paraId="2A5F30CB" w14:textId="757BA8B4"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Ahmed, K., &amp; </w:t>
      </w:r>
      <w:proofErr w:type="spellStart"/>
      <w:r w:rsidRPr="00BA63BA">
        <w:rPr>
          <w:rFonts w:ascii="Times New Roman" w:hAnsi="Times New Roman" w:cs="Times New Roman"/>
          <w:sz w:val="24"/>
          <w:szCs w:val="24"/>
        </w:rPr>
        <w:t>Courtis</w:t>
      </w:r>
      <w:proofErr w:type="spellEnd"/>
      <w:r w:rsidRPr="00BA63BA">
        <w:rPr>
          <w:rFonts w:ascii="Times New Roman" w:hAnsi="Times New Roman" w:cs="Times New Roman"/>
          <w:sz w:val="24"/>
          <w:szCs w:val="24"/>
        </w:rPr>
        <w:t xml:space="preserve">, J. K. (1999). Association between Corporate Characteristic and Disclosure Level in Annual Report: </w:t>
      </w:r>
      <w:r w:rsidR="00D26227" w:rsidRPr="00BA63BA">
        <w:rPr>
          <w:rFonts w:ascii="Times New Roman" w:hAnsi="Times New Roman" w:cs="Times New Roman"/>
          <w:sz w:val="24"/>
          <w:szCs w:val="24"/>
        </w:rPr>
        <w:t>A</w:t>
      </w:r>
      <w:r w:rsidRPr="00BA63BA">
        <w:rPr>
          <w:rFonts w:ascii="Times New Roman" w:hAnsi="Times New Roman" w:cs="Times New Roman"/>
          <w:sz w:val="24"/>
          <w:szCs w:val="24"/>
        </w:rPr>
        <w:t xml:space="preserve"> Meta-Analysis. </w:t>
      </w:r>
      <w:r w:rsidRPr="00BA63BA">
        <w:rPr>
          <w:rFonts w:ascii="Times New Roman" w:hAnsi="Times New Roman" w:cs="Times New Roman"/>
          <w:i/>
          <w:iCs/>
          <w:sz w:val="24"/>
          <w:szCs w:val="24"/>
        </w:rPr>
        <w:t>British Accounting Review, 31</w:t>
      </w:r>
      <w:r w:rsidRPr="00BA63BA">
        <w:rPr>
          <w:rFonts w:ascii="Times New Roman" w:hAnsi="Times New Roman" w:cs="Times New Roman"/>
          <w:sz w:val="24"/>
          <w:szCs w:val="24"/>
        </w:rPr>
        <w:t>, 35-61</w:t>
      </w:r>
    </w:p>
    <w:p w14:paraId="7D186541"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Amihud</w:t>
      </w:r>
      <w:proofErr w:type="spellEnd"/>
      <w:r w:rsidRPr="00BA63BA">
        <w:rPr>
          <w:rFonts w:ascii="Times New Roman" w:hAnsi="Times New Roman" w:cs="Times New Roman"/>
          <w:sz w:val="24"/>
          <w:szCs w:val="24"/>
        </w:rPr>
        <w:t xml:space="preserve">, Y., &amp; Mendelson, H. (1986). Asset Pricing and the Bid-Ask Spread. </w:t>
      </w:r>
      <w:r w:rsidRPr="00BA63BA">
        <w:rPr>
          <w:rFonts w:ascii="Times New Roman" w:hAnsi="Times New Roman" w:cs="Times New Roman"/>
          <w:i/>
          <w:iCs/>
          <w:sz w:val="24"/>
          <w:szCs w:val="24"/>
        </w:rPr>
        <w:t>Journal of Financial Economics, 17</w:t>
      </w:r>
      <w:r w:rsidRPr="00BA63BA">
        <w:rPr>
          <w:rFonts w:ascii="Times New Roman" w:hAnsi="Times New Roman" w:cs="Times New Roman"/>
          <w:sz w:val="24"/>
          <w:szCs w:val="24"/>
        </w:rPr>
        <w:t>(2), 223-249.</w:t>
      </w:r>
    </w:p>
    <w:p w14:paraId="3EC585BB"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Ball, R., &amp; Foster, G. (1982). Corporate Financial Reporting: A Methodological Review of Empirical Research. </w:t>
      </w:r>
      <w:r w:rsidRPr="00BA63BA">
        <w:rPr>
          <w:rFonts w:ascii="Times New Roman" w:hAnsi="Times New Roman" w:cs="Times New Roman"/>
          <w:i/>
          <w:iCs/>
          <w:sz w:val="24"/>
          <w:szCs w:val="24"/>
        </w:rPr>
        <w:t>Journal of Accounting Research, 20</w:t>
      </w:r>
      <w:r w:rsidRPr="00BA63BA">
        <w:rPr>
          <w:rFonts w:ascii="Times New Roman" w:hAnsi="Times New Roman" w:cs="Times New Roman"/>
          <w:sz w:val="24"/>
          <w:szCs w:val="24"/>
        </w:rPr>
        <w:t>, 161-234.</w:t>
      </w:r>
    </w:p>
    <w:p w14:paraId="086E62AE"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Barry, C. B., &amp; Brown, S. J. (1985). Differential Information and Security Market Equilibrium. </w:t>
      </w:r>
      <w:r w:rsidRPr="00BA63BA">
        <w:rPr>
          <w:rFonts w:ascii="Times New Roman" w:hAnsi="Times New Roman" w:cs="Times New Roman"/>
          <w:i/>
          <w:iCs/>
          <w:sz w:val="24"/>
          <w:szCs w:val="24"/>
        </w:rPr>
        <w:t>The Journal of Financial and Quantitative Analysis, 20</w:t>
      </w:r>
      <w:r w:rsidRPr="00BA63BA">
        <w:rPr>
          <w:rFonts w:ascii="Times New Roman" w:hAnsi="Times New Roman" w:cs="Times New Roman"/>
          <w:sz w:val="24"/>
          <w:szCs w:val="24"/>
        </w:rPr>
        <w:t>(4), 407-422.</w:t>
      </w:r>
    </w:p>
    <w:p w14:paraId="72BD6798" w14:textId="77777777" w:rsidR="000B6CC0"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Barry, C. B., &amp; Brown, S. J. (1986). Limited Information as a Source of Risk. </w:t>
      </w:r>
      <w:r w:rsidRPr="00BA63BA">
        <w:rPr>
          <w:rFonts w:ascii="Times New Roman" w:hAnsi="Times New Roman" w:cs="Times New Roman"/>
          <w:i/>
          <w:iCs/>
          <w:sz w:val="24"/>
          <w:szCs w:val="24"/>
        </w:rPr>
        <w:t>The Journal of Portfolio Management, 12</w:t>
      </w:r>
      <w:r w:rsidRPr="00BA63BA">
        <w:rPr>
          <w:rFonts w:ascii="Times New Roman" w:hAnsi="Times New Roman" w:cs="Times New Roman"/>
          <w:sz w:val="24"/>
          <w:szCs w:val="24"/>
        </w:rPr>
        <w:t>, 66-72.</w:t>
      </w:r>
    </w:p>
    <w:p w14:paraId="4B0101F3"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C. A. (1997). Disclosure Level and the Cost of Equity Capital. </w:t>
      </w:r>
      <w:r w:rsidRPr="00BA63BA">
        <w:rPr>
          <w:rFonts w:ascii="Times New Roman" w:hAnsi="Times New Roman" w:cs="Times New Roman"/>
          <w:i/>
          <w:iCs/>
          <w:sz w:val="24"/>
          <w:szCs w:val="24"/>
        </w:rPr>
        <w:t>The Accounting Review, 72</w:t>
      </w:r>
      <w:r w:rsidRPr="00BA63BA">
        <w:rPr>
          <w:rFonts w:ascii="Times New Roman" w:hAnsi="Times New Roman" w:cs="Times New Roman"/>
          <w:sz w:val="24"/>
          <w:szCs w:val="24"/>
        </w:rPr>
        <w:t>(3), 323-349.</w:t>
      </w:r>
    </w:p>
    <w:p w14:paraId="2AC142A7"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C. A. (2000). Evidence that Greater Disclosure Lowers the Cost of Equity Capital. </w:t>
      </w:r>
      <w:r w:rsidRPr="00BA63BA">
        <w:rPr>
          <w:rFonts w:ascii="Times New Roman" w:hAnsi="Times New Roman" w:cs="Times New Roman"/>
          <w:i/>
          <w:iCs/>
          <w:sz w:val="24"/>
          <w:szCs w:val="24"/>
        </w:rPr>
        <w:t>Journal of Applied Corporate Finance 12</w:t>
      </w:r>
      <w:r w:rsidRPr="00BA63BA">
        <w:rPr>
          <w:rFonts w:ascii="Times New Roman" w:hAnsi="Times New Roman" w:cs="Times New Roman"/>
          <w:sz w:val="24"/>
          <w:szCs w:val="24"/>
        </w:rPr>
        <w:t>(4), 60-69.</w:t>
      </w:r>
    </w:p>
    <w:p w14:paraId="11B6CBA4"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lastRenderedPageBreak/>
        <w:t>Botosan</w:t>
      </w:r>
      <w:proofErr w:type="spellEnd"/>
      <w:r w:rsidRPr="00BA63BA">
        <w:rPr>
          <w:rFonts w:ascii="Times New Roman" w:hAnsi="Times New Roman" w:cs="Times New Roman"/>
          <w:sz w:val="24"/>
          <w:szCs w:val="24"/>
        </w:rPr>
        <w:t xml:space="preserve">, C. A., &amp; </w:t>
      </w:r>
      <w:proofErr w:type="spellStart"/>
      <w:r w:rsidRPr="00BA63BA">
        <w:rPr>
          <w:rFonts w:ascii="Times New Roman" w:hAnsi="Times New Roman" w:cs="Times New Roman"/>
          <w:sz w:val="24"/>
          <w:szCs w:val="24"/>
        </w:rPr>
        <w:t>Plumlee</w:t>
      </w:r>
      <w:proofErr w:type="spellEnd"/>
      <w:r w:rsidRPr="00BA63BA">
        <w:rPr>
          <w:rFonts w:ascii="Times New Roman" w:hAnsi="Times New Roman" w:cs="Times New Roman"/>
          <w:sz w:val="24"/>
          <w:szCs w:val="24"/>
        </w:rPr>
        <w:t xml:space="preserve">, M. A. (2002). A Re-examination of Disclosure Level and the Expected Cost of Equity Capital. </w:t>
      </w:r>
      <w:r w:rsidRPr="00BA63BA">
        <w:rPr>
          <w:rFonts w:ascii="Times New Roman" w:hAnsi="Times New Roman" w:cs="Times New Roman"/>
          <w:i/>
          <w:iCs/>
          <w:sz w:val="24"/>
          <w:szCs w:val="24"/>
        </w:rPr>
        <w:t>Journal of Accounting Research, 40</w:t>
      </w:r>
      <w:r w:rsidRPr="00BA63BA">
        <w:rPr>
          <w:rFonts w:ascii="Times New Roman" w:hAnsi="Times New Roman" w:cs="Times New Roman"/>
          <w:sz w:val="24"/>
          <w:szCs w:val="24"/>
        </w:rPr>
        <w:t>(1), 21-40.</w:t>
      </w:r>
    </w:p>
    <w:p w14:paraId="7395D7A4" w14:textId="6ED04C50" w:rsidR="00F30FC1"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Botosan</w:t>
      </w:r>
      <w:proofErr w:type="spellEnd"/>
      <w:r w:rsidRPr="00BA63BA">
        <w:rPr>
          <w:rFonts w:ascii="Times New Roman" w:hAnsi="Times New Roman" w:cs="Times New Roman"/>
          <w:sz w:val="24"/>
          <w:szCs w:val="24"/>
        </w:rPr>
        <w:t xml:space="preserve">, C. A., </w:t>
      </w:r>
      <w:proofErr w:type="spellStart"/>
      <w:r w:rsidRPr="00BA63BA">
        <w:rPr>
          <w:rFonts w:ascii="Times New Roman" w:hAnsi="Times New Roman" w:cs="Times New Roman"/>
          <w:sz w:val="24"/>
          <w:szCs w:val="24"/>
        </w:rPr>
        <w:t>Plumlee</w:t>
      </w:r>
      <w:proofErr w:type="spellEnd"/>
      <w:r w:rsidRPr="00BA63BA">
        <w:rPr>
          <w:rFonts w:ascii="Times New Roman" w:hAnsi="Times New Roman" w:cs="Times New Roman"/>
          <w:sz w:val="24"/>
          <w:szCs w:val="24"/>
        </w:rPr>
        <w:t xml:space="preserve">, M. A., &amp; </w:t>
      </w:r>
      <w:proofErr w:type="spellStart"/>
      <w:r w:rsidRPr="00BA63BA">
        <w:rPr>
          <w:rFonts w:ascii="Times New Roman" w:hAnsi="Times New Roman" w:cs="Times New Roman"/>
          <w:sz w:val="24"/>
          <w:szCs w:val="24"/>
        </w:rPr>
        <w:t>Xie</w:t>
      </w:r>
      <w:proofErr w:type="spellEnd"/>
      <w:r w:rsidRPr="00BA63BA">
        <w:rPr>
          <w:rFonts w:ascii="Times New Roman" w:hAnsi="Times New Roman" w:cs="Times New Roman"/>
          <w:sz w:val="24"/>
          <w:szCs w:val="24"/>
        </w:rPr>
        <w:t xml:space="preserve">, Y. (2004). The Role of Information Precision in Determining the Cost of Equity Capital. </w:t>
      </w:r>
      <w:r w:rsidRPr="00BA63BA">
        <w:rPr>
          <w:rFonts w:ascii="Times New Roman" w:hAnsi="Times New Roman" w:cs="Times New Roman"/>
          <w:i/>
          <w:iCs/>
          <w:sz w:val="24"/>
          <w:szCs w:val="24"/>
        </w:rPr>
        <w:t>Review of Accounting Studies, 9</w:t>
      </w:r>
      <w:r w:rsidRPr="00BA63BA">
        <w:rPr>
          <w:rFonts w:ascii="Times New Roman" w:hAnsi="Times New Roman" w:cs="Times New Roman"/>
          <w:sz w:val="24"/>
          <w:szCs w:val="24"/>
        </w:rPr>
        <w:t>, 233–259.</w:t>
      </w:r>
    </w:p>
    <w:p w14:paraId="265AD7B6" w14:textId="77777777" w:rsidR="00261979" w:rsidRPr="00414B8F" w:rsidRDefault="00261979" w:rsidP="00261979">
      <w:pPr>
        <w:autoSpaceDE w:val="0"/>
        <w:autoSpaceDN w:val="0"/>
        <w:adjustRightInd w:val="0"/>
        <w:spacing w:after="0" w:line="240" w:lineRule="auto"/>
        <w:ind w:left="720" w:hanging="720"/>
        <w:jc w:val="both"/>
        <w:rPr>
          <w:rFonts w:ascii="Times New Roman" w:hAnsi="Times New Roman" w:cs="Times New Roman"/>
          <w:sz w:val="24"/>
          <w:szCs w:val="24"/>
        </w:rPr>
      </w:pPr>
      <w:r w:rsidRPr="00414B8F">
        <w:rPr>
          <w:rFonts w:ascii="Times New Roman" w:eastAsia="Calibri" w:hAnsi="Times New Roman" w:cs="Times New Roman"/>
          <w:sz w:val="24"/>
          <w:szCs w:val="24"/>
        </w:rPr>
        <w:t xml:space="preserve">Bursa Malaysia Press Release, </w:t>
      </w:r>
      <w:hyperlink r:id="rId8" w:history="1">
        <w:r w:rsidRPr="00414B8F">
          <w:rPr>
            <w:rStyle w:val="Hyperlink"/>
            <w:rFonts w:ascii="Times New Roman" w:hAnsi="Times New Roman" w:cs="Times New Roman"/>
            <w:sz w:val="24"/>
            <w:szCs w:val="24"/>
          </w:rPr>
          <w:t>http://www.klse.com.my/website/bm/media_centre/</w:t>
        </w:r>
      </w:hyperlink>
    </w:p>
    <w:p w14:paraId="480C991D" w14:textId="77777777" w:rsidR="00261979" w:rsidRPr="00BA63BA" w:rsidRDefault="00261979" w:rsidP="00991BDA">
      <w:pPr>
        <w:autoSpaceDE w:val="0"/>
        <w:autoSpaceDN w:val="0"/>
        <w:adjustRightInd w:val="0"/>
        <w:spacing w:after="0" w:line="240" w:lineRule="auto"/>
        <w:ind w:left="720" w:hanging="720"/>
        <w:jc w:val="both"/>
        <w:rPr>
          <w:rFonts w:ascii="Times New Roman" w:hAnsi="Times New Roman" w:cs="Times New Roman"/>
          <w:sz w:val="24"/>
          <w:szCs w:val="24"/>
        </w:rPr>
      </w:pPr>
    </w:p>
    <w:p w14:paraId="6CFB2A5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Cheng, E. C. M., &amp; Courtenay, S. M. (2006). Board composition, regulatory regime and voluntary disclosure. </w:t>
      </w:r>
      <w:r w:rsidRPr="00BA63BA">
        <w:rPr>
          <w:rFonts w:ascii="Times New Roman" w:hAnsi="Times New Roman" w:cs="Times New Roman"/>
          <w:i/>
          <w:iCs/>
          <w:sz w:val="24"/>
          <w:szCs w:val="24"/>
        </w:rPr>
        <w:t>The International Journal of Accounting, 41</w:t>
      </w:r>
      <w:r w:rsidRPr="00BA63BA">
        <w:rPr>
          <w:rFonts w:ascii="Times New Roman" w:hAnsi="Times New Roman" w:cs="Times New Roman"/>
          <w:sz w:val="24"/>
          <w:szCs w:val="24"/>
        </w:rPr>
        <w:t>, 262–289.</w:t>
      </w:r>
    </w:p>
    <w:p w14:paraId="53CFFF2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Christie, A. A., &amp; Zimmerman, J. L. (1994). Efficient and Opportunistic Choices of Accounting Procedures. </w:t>
      </w:r>
      <w:r w:rsidRPr="00BA63BA">
        <w:rPr>
          <w:rFonts w:ascii="Times New Roman" w:hAnsi="Times New Roman" w:cs="Times New Roman"/>
          <w:i/>
          <w:iCs/>
          <w:sz w:val="24"/>
          <w:szCs w:val="24"/>
        </w:rPr>
        <w:t>The Accounting Review, 69</w:t>
      </w:r>
      <w:r w:rsidRPr="00BA63BA">
        <w:rPr>
          <w:rFonts w:ascii="Times New Roman" w:hAnsi="Times New Roman" w:cs="Times New Roman"/>
          <w:sz w:val="24"/>
          <w:szCs w:val="24"/>
        </w:rPr>
        <w:t>(4), 539-566.</w:t>
      </w:r>
    </w:p>
    <w:p w14:paraId="394B0825"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Clarkson, P., Guedes, J., &amp; Thompson, R. (1996). On the Diversification, Observability, and Measurement of Estimation Risk. </w:t>
      </w:r>
      <w:r w:rsidRPr="00BA63BA">
        <w:rPr>
          <w:rFonts w:ascii="Times New Roman" w:hAnsi="Times New Roman" w:cs="Times New Roman"/>
          <w:i/>
          <w:iCs/>
          <w:sz w:val="24"/>
          <w:szCs w:val="24"/>
        </w:rPr>
        <w:t>The Journal of Financial and Quantitative Analysis, 31</w:t>
      </w:r>
      <w:r w:rsidRPr="00BA63BA">
        <w:rPr>
          <w:rFonts w:ascii="Times New Roman" w:hAnsi="Times New Roman" w:cs="Times New Roman"/>
          <w:sz w:val="24"/>
          <w:szCs w:val="24"/>
        </w:rPr>
        <w:t>(1), 69-84.</w:t>
      </w:r>
    </w:p>
    <w:p w14:paraId="6654A37E"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DeAngelo, H., DeAngelo, L. E., &amp; Skinner, D. (1996). Reversal of Fortune: Dividend Signaling and the Disappearance of Sustained Earnings Growth. </w:t>
      </w:r>
      <w:r w:rsidRPr="00BA63BA">
        <w:rPr>
          <w:rFonts w:ascii="Times New Roman" w:hAnsi="Times New Roman" w:cs="Times New Roman"/>
          <w:i/>
          <w:iCs/>
          <w:sz w:val="24"/>
          <w:szCs w:val="24"/>
        </w:rPr>
        <w:t>Journal of Financial Economics, 40</w:t>
      </w:r>
      <w:r w:rsidRPr="00BA63BA">
        <w:rPr>
          <w:rFonts w:ascii="Times New Roman" w:hAnsi="Times New Roman" w:cs="Times New Roman"/>
          <w:sz w:val="24"/>
          <w:szCs w:val="24"/>
        </w:rPr>
        <w:t>(3), 341–372.</w:t>
      </w:r>
    </w:p>
    <w:p w14:paraId="13D21399"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Diamond, D. W., &amp; </w:t>
      </w:r>
      <w:proofErr w:type="spellStart"/>
      <w:r w:rsidRPr="00BA63BA">
        <w:rPr>
          <w:rFonts w:ascii="Times New Roman" w:hAnsi="Times New Roman" w:cs="Times New Roman"/>
          <w:sz w:val="24"/>
          <w:szCs w:val="24"/>
        </w:rPr>
        <w:t>Verrecchia</w:t>
      </w:r>
      <w:proofErr w:type="spellEnd"/>
      <w:r w:rsidRPr="00BA63BA">
        <w:rPr>
          <w:rFonts w:ascii="Times New Roman" w:hAnsi="Times New Roman" w:cs="Times New Roman"/>
          <w:sz w:val="24"/>
          <w:szCs w:val="24"/>
        </w:rPr>
        <w:t xml:space="preserve">, R. E. (1991). Disclosure, Liquidity, and the Cost of Capital. </w:t>
      </w:r>
      <w:r w:rsidRPr="00BA63BA">
        <w:rPr>
          <w:rFonts w:ascii="Times New Roman" w:hAnsi="Times New Roman" w:cs="Times New Roman"/>
          <w:i/>
          <w:iCs/>
          <w:sz w:val="24"/>
          <w:szCs w:val="24"/>
        </w:rPr>
        <w:t>The Journal of Finance, 46</w:t>
      </w:r>
      <w:r w:rsidRPr="00BA63BA">
        <w:rPr>
          <w:rFonts w:ascii="Times New Roman" w:hAnsi="Times New Roman" w:cs="Times New Roman"/>
          <w:sz w:val="24"/>
          <w:szCs w:val="24"/>
        </w:rPr>
        <w:t>, 1325-1359.</w:t>
      </w:r>
    </w:p>
    <w:p w14:paraId="17CCE2E1"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Easley, D., &amp; </w:t>
      </w:r>
      <w:proofErr w:type="spellStart"/>
      <w:r w:rsidRPr="00BA63BA">
        <w:rPr>
          <w:rFonts w:ascii="Times New Roman" w:hAnsi="Times New Roman" w:cs="Times New Roman"/>
          <w:sz w:val="24"/>
          <w:szCs w:val="24"/>
        </w:rPr>
        <w:t>O'hara</w:t>
      </w:r>
      <w:proofErr w:type="spellEnd"/>
      <w:r w:rsidRPr="00BA63BA">
        <w:rPr>
          <w:rFonts w:ascii="Times New Roman" w:hAnsi="Times New Roman" w:cs="Times New Roman"/>
          <w:sz w:val="24"/>
          <w:szCs w:val="24"/>
        </w:rPr>
        <w:t xml:space="preserve">, M. (2004). Information and the Cost of Capital. </w:t>
      </w:r>
      <w:r w:rsidRPr="00BA63BA">
        <w:rPr>
          <w:rFonts w:ascii="Times New Roman" w:hAnsi="Times New Roman" w:cs="Times New Roman"/>
          <w:i/>
          <w:iCs/>
          <w:sz w:val="24"/>
          <w:szCs w:val="24"/>
        </w:rPr>
        <w:t>The Journal of Finance, 59</w:t>
      </w:r>
      <w:r w:rsidRPr="00BA63BA">
        <w:rPr>
          <w:rFonts w:ascii="Times New Roman" w:hAnsi="Times New Roman" w:cs="Times New Roman"/>
          <w:sz w:val="24"/>
          <w:szCs w:val="24"/>
        </w:rPr>
        <w:t>(4), 1553-1583.</w:t>
      </w:r>
    </w:p>
    <w:p w14:paraId="2A5CA63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FRS101. (2009). </w:t>
      </w:r>
      <w:r w:rsidRPr="00BA63BA">
        <w:rPr>
          <w:rFonts w:ascii="Times New Roman" w:hAnsi="Times New Roman" w:cs="Times New Roman"/>
          <w:i/>
          <w:iCs/>
          <w:sz w:val="24"/>
          <w:szCs w:val="24"/>
        </w:rPr>
        <w:t>Presentation of Financial Statements</w:t>
      </w:r>
      <w:r w:rsidRPr="00BA63BA">
        <w:rPr>
          <w:rFonts w:ascii="Times New Roman" w:hAnsi="Times New Roman" w:cs="Times New Roman"/>
          <w:sz w:val="24"/>
          <w:szCs w:val="24"/>
        </w:rPr>
        <w:t>. Malaysian Accounting Standards Board.</w:t>
      </w:r>
    </w:p>
    <w:p w14:paraId="77FE91DB"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Gelb, D. S., &amp; </w:t>
      </w:r>
      <w:proofErr w:type="spellStart"/>
      <w:r w:rsidRPr="00BA63BA">
        <w:rPr>
          <w:rFonts w:ascii="Times New Roman" w:hAnsi="Times New Roman" w:cs="Times New Roman"/>
          <w:sz w:val="24"/>
          <w:szCs w:val="24"/>
        </w:rPr>
        <w:t>Zarowin</w:t>
      </w:r>
      <w:proofErr w:type="spellEnd"/>
      <w:r w:rsidRPr="00BA63BA">
        <w:rPr>
          <w:rFonts w:ascii="Times New Roman" w:hAnsi="Times New Roman" w:cs="Times New Roman"/>
          <w:sz w:val="24"/>
          <w:szCs w:val="24"/>
        </w:rPr>
        <w:t xml:space="preserve">, P. (2002). Corporate Disclosure Policy and the Informativeness of Stock Prices. </w:t>
      </w:r>
      <w:r w:rsidRPr="00BA63BA">
        <w:rPr>
          <w:rFonts w:ascii="Times New Roman" w:hAnsi="Times New Roman" w:cs="Times New Roman"/>
          <w:i/>
          <w:iCs/>
          <w:sz w:val="24"/>
          <w:szCs w:val="24"/>
        </w:rPr>
        <w:t>Review of Accounting Studies, 7</w:t>
      </w:r>
      <w:r w:rsidRPr="00BA63BA">
        <w:rPr>
          <w:rFonts w:ascii="Times New Roman" w:hAnsi="Times New Roman" w:cs="Times New Roman"/>
          <w:sz w:val="24"/>
          <w:szCs w:val="24"/>
        </w:rPr>
        <w:t>, 33–52.</w:t>
      </w:r>
    </w:p>
    <w:p w14:paraId="7247DC09"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Ghazali, N. A. M., &amp; </w:t>
      </w:r>
      <w:proofErr w:type="spellStart"/>
      <w:r w:rsidRPr="00BA63BA">
        <w:rPr>
          <w:rFonts w:ascii="Times New Roman" w:hAnsi="Times New Roman" w:cs="Times New Roman"/>
          <w:sz w:val="24"/>
          <w:szCs w:val="24"/>
        </w:rPr>
        <w:t>Weetman</w:t>
      </w:r>
      <w:proofErr w:type="spellEnd"/>
      <w:r w:rsidRPr="00BA63BA">
        <w:rPr>
          <w:rFonts w:ascii="Times New Roman" w:hAnsi="Times New Roman" w:cs="Times New Roman"/>
          <w:sz w:val="24"/>
          <w:szCs w:val="24"/>
        </w:rPr>
        <w:t xml:space="preserve">, P. (2006). Perpetuating Traditional Influences: Voluntary Disclosure in Malaysia following the Economic Crisis. </w:t>
      </w:r>
      <w:r w:rsidRPr="00BA63BA">
        <w:rPr>
          <w:rFonts w:ascii="Times New Roman" w:hAnsi="Times New Roman" w:cs="Times New Roman"/>
          <w:i/>
          <w:iCs/>
          <w:sz w:val="24"/>
          <w:szCs w:val="24"/>
        </w:rPr>
        <w:t>Journal of International Accounting, Auditing and Taxation, 15</w:t>
      </w:r>
      <w:r w:rsidRPr="00BA63BA">
        <w:rPr>
          <w:rFonts w:ascii="Times New Roman" w:hAnsi="Times New Roman" w:cs="Times New Roman"/>
          <w:sz w:val="24"/>
          <w:szCs w:val="24"/>
        </w:rPr>
        <w:t>, 226–248.</w:t>
      </w:r>
    </w:p>
    <w:p w14:paraId="3A98638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Greenwal</w:t>
      </w:r>
      <w:proofErr w:type="spellEnd"/>
      <w:r w:rsidRPr="00BA63BA">
        <w:rPr>
          <w:rFonts w:ascii="Times New Roman" w:hAnsi="Times New Roman" w:cs="Times New Roman"/>
          <w:sz w:val="24"/>
          <w:szCs w:val="24"/>
        </w:rPr>
        <w:t xml:space="preserve">, B., Stiglitz, J. E., &amp; Weiss, A. (1984). Informational Imperfections in the Capital Market and Macroeconomic Fluctuations. </w:t>
      </w:r>
      <w:r w:rsidRPr="00BA63BA">
        <w:rPr>
          <w:rFonts w:ascii="Times New Roman" w:hAnsi="Times New Roman" w:cs="Times New Roman"/>
          <w:i/>
          <w:iCs/>
          <w:sz w:val="24"/>
          <w:szCs w:val="24"/>
        </w:rPr>
        <w:t>The American Economic Review, 74</w:t>
      </w:r>
      <w:r w:rsidRPr="00BA63BA">
        <w:rPr>
          <w:rFonts w:ascii="Times New Roman" w:hAnsi="Times New Roman" w:cs="Times New Roman"/>
          <w:sz w:val="24"/>
          <w:szCs w:val="24"/>
        </w:rPr>
        <w:t>(2), 194-199.</w:t>
      </w:r>
    </w:p>
    <w:p w14:paraId="225F9764"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Hail, L. (2002). The Impact of Voluntary Corporate Disclosures on the Ex-ante Cost of Capital for Swiss Firms. </w:t>
      </w:r>
      <w:r w:rsidRPr="00BA63BA">
        <w:rPr>
          <w:rFonts w:ascii="Times New Roman" w:hAnsi="Times New Roman" w:cs="Times New Roman"/>
          <w:i/>
          <w:iCs/>
          <w:sz w:val="24"/>
          <w:szCs w:val="24"/>
        </w:rPr>
        <w:t>The European Accounting Review, 11</w:t>
      </w:r>
      <w:r w:rsidRPr="00BA63BA">
        <w:rPr>
          <w:rFonts w:ascii="Times New Roman" w:hAnsi="Times New Roman" w:cs="Times New Roman"/>
          <w:sz w:val="24"/>
          <w:szCs w:val="24"/>
        </w:rPr>
        <w:t>(4), 741-773.</w:t>
      </w:r>
    </w:p>
    <w:p w14:paraId="4E2F0ACA"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Handa</w:t>
      </w:r>
      <w:proofErr w:type="spellEnd"/>
      <w:r w:rsidRPr="00BA63BA">
        <w:rPr>
          <w:rFonts w:ascii="Times New Roman" w:hAnsi="Times New Roman" w:cs="Times New Roman"/>
          <w:sz w:val="24"/>
          <w:szCs w:val="24"/>
        </w:rPr>
        <w:t xml:space="preserve">, P., &amp; Linn, S. C. (1993). Arbitrage Pricing with Estimation Risk. </w:t>
      </w:r>
      <w:r w:rsidRPr="00BA63BA">
        <w:rPr>
          <w:rFonts w:ascii="Times New Roman" w:hAnsi="Times New Roman" w:cs="Times New Roman"/>
          <w:i/>
          <w:iCs/>
          <w:sz w:val="24"/>
          <w:szCs w:val="24"/>
        </w:rPr>
        <w:t>The Journal of Financial and Quantitative Analysis, 28</w:t>
      </w:r>
      <w:r w:rsidRPr="00BA63BA">
        <w:rPr>
          <w:rFonts w:ascii="Times New Roman" w:hAnsi="Times New Roman" w:cs="Times New Roman"/>
          <w:sz w:val="24"/>
          <w:szCs w:val="24"/>
        </w:rPr>
        <w:t>(1), 81-100.</w:t>
      </w:r>
    </w:p>
    <w:p w14:paraId="2CC1C5B3"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lang w:val="en-MY"/>
        </w:rPr>
      </w:pPr>
      <w:r w:rsidRPr="00BA63BA">
        <w:rPr>
          <w:rFonts w:ascii="Times New Roman" w:hAnsi="Times New Roman" w:cs="Times New Roman"/>
          <w:sz w:val="24"/>
          <w:szCs w:val="24"/>
          <w:lang w:val="en-MY"/>
        </w:rPr>
        <w:t xml:space="preserve">Hashim, F., &amp; Saleh, N. M. (2007). Voluntary Annual Report Disclosures by Malaysian Multinational Corporations. </w:t>
      </w:r>
      <w:r w:rsidRPr="00BA63BA">
        <w:rPr>
          <w:rFonts w:ascii="Times New Roman" w:hAnsi="Times New Roman" w:cs="Times New Roman"/>
          <w:i/>
          <w:iCs/>
          <w:sz w:val="24"/>
          <w:szCs w:val="24"/>
          <w:lang w:val="en-MY"/>
        </w:rPr>
        <w:t>Malaysian Accounting Review, 6</w:t>
      </w:r>
      <w:r w:rsidRPr="00BA63BA">
        <w:rPr>
          <w:rFonts w:ascii="Times New Roman" w:hAnsi="Times New Roman" w:cs="Times New Roman"/>
          <w:sz w:val="24"/>
          <w:szCs w:val="24"/>
          <w:lang w:val="en-MY"/>
        </w:rPr>
        <w:t>(1), 129-156.</w:t>
      </w:r>
    </w:p>
    <w:p w14:paraId="4C5C3923"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Healy, P. M., &amp; Palepu, K. G. (1990). Effectiveness of Accounting-Based Dividend Covenants. </w:t>
      </w:r>
      <w:r w:rsidRPr="00BA63BA">
        <w:rPr>
          <w:rFonts w:ascii="Times New Roman" w:hAnsi="Times New Roman" w:cs="Times New Roman"/>
          <w:i/>
          <w:iCs/>
          <w:sz w:val="24"/>
          <w:szCs w:val="24"/>
        </w:rPr>
        <w:t>Journal of Accounting and Economics, 13</w:t>
      </w:r>
      <w:r w:rsidRPr="00BA63BA">
        <w:rPr>
          <w:rFonts w:ascii="Times New Roman" w:hAnsi="Times New Roman" w:cs="Times New Roman"/>
          <w:sz w:val="24"/>
          <w:szCs w:val="24"/>
        </w:rPr>
        <w:t>(1-3), 97-123.</w:t>
      </w:r>
    </w:p>
    <w:p w14:paraId="33F3190A"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Healy, P. M., &amp; Palepu, K. G. (1993). The Effect of Firms' Financial Disclosure Strategies on Stock Prices. </w:t>
      </w:r>
      <w:r w:rsidRPr="00BA63BA">
        <w:rPr>
          <w:rFonts w:ascii="Times New Roman" w:hAnsi="Times New Roman" w:cs="Times New Roman"/>
          <w:i/>
          <w:iCs/>
          <w:sz w:val="24"/>
          <w:szCs w:val="24"/>
        </w:rPr>
        <w:t>Accounting Horizons, 7</w:t>
      </w:r>
      <w:r w:rsidRPr="00BA63BA">
        <w:rPr>
          <w:rFonts w:ascii="Times New Roman" w:hAnsi="Times New Roman" w:cs="Times New Roman"/>
          <w:sz w:val="24"/>
          <w:szCs w:val="24"/>
        </w:rPr>
        <w:t>(1), 1-11.</w:t>
      </w:r>
    </w:p>
    <w:p w14:paraId="7B1B46E9"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lastRenderedPageBreak/>
        <w:t xml:space="preserve">Healy, P. M., &amp; Palepu, K. G. (1995). The Challenges of Investor Communication: The Case of CUC International, Inc. </w:t>
      </w:r>
      <w:r w:rsidRPr="00BA63BA">
        <w:rPr>
          <w:rFonts w:ascii="Times New Roman" w:hAnsi="Times New Roman" w:cs="Times New Roman"/>
          <w:i/>
          <w:iCs/>
          <w:sz w:val="24"/>
          <w:szCs w:val="24"/>
        </w:rPr>
        <w:t>Journal of Financial Economics, 38</w:t>
      </w:r>
      <w:r w:rsidRPr="00BA63BA">
        <w:rPr>
          <w:rFonts w:ascii="Times New Roman" w:hAnsi="Times New Roman" w:cs="Times New Roman"/>
          <w:sz w:val="24"/>
          <w:szCs w:val="24"/>
        </w:rPr>
        <w:t>, 11 l-140.</w:t>
      </w:r>
    </w:p>
    <w:p w14:paraId="1BDF8060"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Healy, P. M., &amp; Palepu, K. G. (2001). Information Asymmetry, Corporate Disclosure, and the Capital Markets: A Review of the Empirical Disclosure Literature. </w:t>
      </w:r>
      <w:r w:rsidRPr="00BA63BA">
        <w:rPr>
          <w:rFonts w:ascii="Times New Roman" w:hAnsi="Times New Roman" w:cs="Times New Roman"/>
          <w:i/>
          <w:iCs/>
          <w:sz w:val="24"/>
          <w:szCs w:val="24"/>
        </w:rPr>
        <w:t>Journal of Accounting and Economics, 31</w:t>
      </w:r>
      <w:r w:rsidRPr="00BA63BA">
        <w:rPr>
          <w:rFonts w:ascii="Times New Roman" w:hAnsi="Times New Roman" w:cs="Times New Roman"/>
          <w:sz w:val="24"/>
          <w:szCs w:val="24"/>
        </w:rPr>
        <w:t>, 405-440.</w:t>
      </w:r>
    </w:p>
    <w:p w14:paraId="5D9567D7"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Healy, P. M., Hutton, A. P., &amp; Palepu, K. G. (1999). Stock Performance and Intermediation Changes Surrounding Sustained Increases in Disclosure. </w:t>
      </w:r>
      <w:r w:rsidRPr="00BA63BA">
        <w:rPr>
          <w:rFonts w:ascii="Times New Roman" w:hAnsi="Times New Roman" w:cs="Times New Roman"/>
          <w:i/>
          <w:iCs/>
          <w:sz w:val="24"/>
          <w:szCs w:val="24"/>
        </w:rPr>
        <w:t>Contemporary Accounting Research, 16</w:t>
      </w:r>
      <w:r w:rsidRPr="00BA63BA">
        <w:rPr>
          <w:rFonts w:ascii="Times New Roman" w:hAnsi="Times New Roman" w:cs="Times New Roman"/>
          <w:sz w:val="24"/>
          <w:szCs w:val="24"/>
        </w:rPr>
        <w:t>(3), 485-520.</w:t>
      </w:r>
    </w:p>
    <w:p w14:paraId="4CBF7274"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Ho, S. S. M., &amp; Wong, K. S. (2001). A Study of the Relationship Between Corporate Governance Structures and the Extent of Voluntary Disclosure. </w:t>
      </w:r>
      <w:r w:rsidRPr="00BA63BA">
        <w:rPr>
          <w:rFonts w:ascii="Times New Roman" w:hAnsi="Times New Roman" w:cs="Times New Roman"/>
          <w:i/>
          <w:iCs/>
          <w:sz w:val="24"/>
          <w:szCs w:val="24"/>
        </w:rPr>
        <w:t xml:space="preserve">Journal of International Accounting, Auditing </w:t>
      </w:r>
      <w:r w:rsidR="00550EEC" w:rsidRPr="00BA63BA">
        <w:rPr>
          <w:rFonts w:ascii="Times New Roman" w:hAnsi="Times New Roman" w:cs="Times New Roman"/>
          <w:i/>
          <w:iCs/>
          <w:sz w:val="24"/>
          <w:szCs w:val="24"/>
        </w:rPr>
        <w:t>and</w:t>
      </w:r>
      <w:r w:rsidRPr="00BA63BA">
        <w:rPr>
          <w:rFonts w:ascii="Times New Roman" w:hAnsi="Times New Roman" w:cs="Times New Roman"/>
          <w:i/>
          <w:iCs/>
          <w:sz w:val="24"/>
          <w:szCs w:val="24"/>
        </w:rPr>
        <w:t xml:space="preserve"> Taxation, 10</w:t>
      </w:r>
      <w:r w:rsidRPr="00BA63BA">
        <w:rPr>
          <w:rFonts w:ascii="Times New Roman" w:hAnsi="Times New Roman" w:cs="Times New Roman"/>
          <w:sz w:val="24"/>
          <w:szCs w:val="24"/>
        </w:rPr>
        <w:t>, 139–156.</w:t>
      </w:r>
    </w:p>
    <w:p w14:paraId="3E0F1C71" w14:textId="2CEDCE6F" w:rsidR="00780EA9" w:rsidRPr="00BA63BA" w:rsidRDefault="00F30FC1" w:rsidP="00552B96">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Ho, S. S. M., &amp; Wong, K. S. (2004). Investment Analysts’ Usage and Perceived Usefulness of Corporate Annual Reports. </w:t>
      </w:r>
      <w:r w:rsidRPr="00BA63BA">
        <w:rPr>
          <w:rFonts w:ascii="Times New Roman" w:hAnsi="Times New Roman" w:cs="Times New Roman"/>
          <w:i/>
          <w:iCs/>
          <w:sz w:val="24"/>
          <w:szCs w:val="24"/>
        </w:rPr>
        <w:t>Corporate Ownership and Control, 1</w:t>
      </w:r>
      <w:r w:rsidRPr="00BA63BA">
        <w:rPr>
          <w:rFonts w:ascii="Times New Roman" w:hAnsi="Times New Roman" w:cs="Times New Roman"/>
          <w:sz w:val="24"/>
          <w:szCs w:val="24"/>
        </w:rPr>
        <w:t>(3), 61-71.</w:t>
      </w:r>
      <w:r w:rsidR="00A37268" w:rsidRPr="00BA63BA">
        <w:rPr>
          <w:rFonts w:ascii="Times New Roman" w:hAnsi="Times New Roman" w:cs="Times New Roman"/>
          <w:sz w:val="24"/>
          <w:szCs w:val="24"/>
        </w:rPr>
        <w:tab/>
      </w:r>
    </w:p>
    <w:p w14:paraId="3F342343"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Holthausen</w:t>
      </w:r>
      <w:proofErr w:type="spellEnd"/>
      <w:r w:rsidRPr="00BA63BA">
        <w:rPr>
          <w:rFonts w:ascii="Times New Roman" w:hAnsi="Times New Roman" w:cs="Times New Roman"/>
          <w:sz w:val="24"/>
          <w:szCs w:val="24"/>
        </w:rPr>
        <w:t xml:space="preserve">, R. W., &amp; Leftwich, R. W. (1983). The Economic Consequences of Accounting Choice Implications of Costly Contracting and Monitoring. </w:t>
      </w:r>
      <w:r w:rsidRPr="00BA63BA">
        <w:rPr>
          <w:rFonts w:ascii="Times New Roman" w:hAnsi="Times New Roman" w:cs="Times New Roman"/>
          <w:i/>
          <w:iCs/>
          <w:sz w:val="24"/>
          <w:szCs w:val="24"/>
        </w:rPr>
        <w:t>Journal of Accounting and Economics, 5</w:t>
      </w:r>
      <w:r w:rsidRPr="00BA63BA">
        <w:rPr>
          <w:rFonts w:ascii="Times New Roman" w:hAnsi="Times New Roman" w:cs="Times New Roman"/>
          <w:sz w:val="24"/>
          <w:szCs w:val="24"/>
        </w:rPr>
        <w:t>, 77-117.</w:t>
      </w:r>
    </w:p>
    <w:p w14:paraId="112E7A77"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Hussainey</w:t>
      </w:r>
      <w:proofErr w:type="spellEnd"/>
      <w:r w:rsidRPr="00BA63BA">
        <w:rPr>
          <w:rFonts w:ascii="Times New Roman" w:hAnsi="Times New Roman" w:cs="Times New Roman"/>
          <w:sz w:val="24"/>
          <w:szCs w:val="24"/>
        </w:rPr>
        <w:t xml:space="preserve">, K., &amp; </w:t>
      </w:r>
      <w:proofErr w:type="spellStart"/>
      <w:r w:rsidRPr="00BA63BA">
        <w:rPr>
          <w:rFonts w:ascii="Times New Roman" w:hAnsi="Times New Roman" w:cs="Times New Roman"/>
          <w:sz w:val="24"/>
          <w:szCs w:val="24"/>
        </w:rPr>
        <w:t>Aal-Eisa</w:t>
      </w:r>
      <w:proofErr w:type="spellEnd"/>
      <w:r w:rsidRPr="00BA63BA">
        <w:rPr>
          <w:rFonts w:ascii="Times New Roman" w:hAnsi="Times New Roman" w:cs="Times New Roman"/>
          <w:sz w:val="24"/>
          <w:szCs w:val="24"/>
        </w:rPr>
        <w:t xml:space="preserve">, J. (2009). Disclosure and Dividend </w:t>
      </w:r>
      <w:proofErr w:type="spellStart"/>
      <w:r w:rsidRPr="00BA63BA">
        <w:rPr>
          <w:rFonts w:ascii="Times New Roman" w:hAnsi="Times New Roman" w:cs="Times New Roman"/>
          <w:sz w:val="24"/>
          <w:szCs w:val="24"/>
        </w:rPr>
        <w:t>Signalling</w:t>
      </w:r>
      <w:proofErr w:type="spellEnd"/>
      <w:r w:rsidRPr="00BA63BA">
        <w:rPr>
          <w:rFonts w:ascii="Times New Roman" w:hAnsi="Times New Roman" w:cs="Times New Roman"/>
          <w:sz w:val="24"/>
          <w:szCs w:val="24"/>
        </w:rPr>
        <w:t xml:space="preserve"> when Sustained Earnings Growth Declines. </w:t>
      </w:r>
      <w:r w:rsidRPr="00BA63BA">
        <w:rPr>
          <w:rFonts w:ascii="Times New Roman" w:hAnsi="Times New Roman" w:cs="Times New Roman"/>
          <w:i/>
          <w:iCs/>
          <w:sz w:val="24"/>
          <w:szCs w:val="24"/>
        </w:rPr>
        <w:t>Managerial Auditing Journal, 24</w:t>
      </w:r>
      <w:r w:rsidRPr="00BA63BA">
        <w:rPr>
          <w:rFonts w:ascii="Times New Roman" w:hAnsi="Times New Roman" w:cs="Times New Roman"/>
          <w:sz w:val="24"/>
          <w:szCs w:val="24"/>
        </w:rPr>
        <w:t>(5), 445-454.</w:t>
      </w:r>
    </w:p>
    <w:p w14:paraId="53DC2272" w14:textId="6305B99F"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Hussainey</w:t>
      </w:r>
      <w:proofErr w:type="spellEnd"/>
      <w:r w:rsidRPr="00BA63BA">
        <w:rPr>
          <w:rFonts w:ascii="Times New Roman" w:hAnsi="Times New Roman" w:cs="Times New Roman"/>
          <w:sz w:val="24"/>
          <w:szCs w:val="24"/>
        </w:rPr>
        <w:t xml:space="preserve">, K., Schleicher, T., &amp; Walker, M. (2003). Undertaking Large-Scale Disclosure Studies when AIMR-FAF Ratings are not Available: </w:t>
      </w:r>
      <w:r w:rsidR="00BA63BA" w:rsidRPr="00BA63BA">
        <w:rPr>
          <w:rFonts w:ascii="Times New Roman" w:hAnsi="Times New Roman" w:cs="Times New Roman"/>
          <w:sz w:val="24"/>
          <w:szCs w:val="24"/>
        </w:rPr>
        <w:t>The</w:t>
      </w:r>
      <w:r w:rsidRPr="00BA63BA">
        <w:rPr>
          <w:rFonts w:ascii="Times New Roman" w:hAnsi="Times New Roman" w:cs="Times New Roman"/>
          <w:sz w:val="24"/>
          <w:szCs w:val="24"/>
        </w:rPr>
        <w:t xml:space="preserve"> Case of Prices Leading Earnings. </w:t>
      </w:r>
      <w:r w:rsidRPr="00BA63BA">
        <w:rPr>
          <w:rFonts w:ascii="Times New Roman" w:hAnsi="Times New Roman" w:cs="Times New Roman"/>
          <w:i/>
          <w:iCs/>
          <w:sz w:val="24"/>
          <w:szCs w:val="24"/>
        </w:rPr>
        <w:t>Accounting and Business Research, 33</w:t>
      </w:r>
      <w:r w:rsidRPr="00BA63BA">
        <w:rPr>
          <w:rFonts w:ascii="Times New Roman" w:hAnsi="Times New Roman" w:cs="Times New Roman"/>
          <w:sz w:val="24"/>
          <w:szCs w:val="24"/>
        </w:rPr>
        <w:t>(4), 275-294.</w:t>
      </w:r>
    </w:p>
    <w:p w14:paraId="1388444A"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lang w:val="en-MY"/>
        </w:rPr>
      </w:pPr>
      <w:r w:rsidRPr="00BA63BA">
        <w:rPr>
          <w:rFonts w:ascii="Times New Roman" w:hAnsi="Times New Roman" w:cs="Times New Roman"/>
          <w:sz w:val="24"/>
          <w:szCs w:val="24"/>
          <w:lang w:val="en-MY"/>
        </w:rPr>
        <w:t xml:space="preserve">Jaffar, R., </w:t>
      </w:r>
      <w:proofErr w:type="spellStart"/>
      <w:r w:rsidRPr="00BA63BA">
        <w:rPr>
          <w:rFonts w:ascii="Times New Roman" w:hAnsi="Times New Roman" w:cs="Times New Roman"/>
          <w:sz w:val="24"/>
          <w:szCs w:val="24"/>
          <w:lang w:val="en-MY"/>
        </w:rPr>
        <w:t>Jamaludin</w:t>
      </w:r>
      <w:proofErr w:type="spellEnd"/>
      <w:r w:rsidRPr="00BA63BA">
        <w:rPr>
          <w:rFonts w:ascii="Times New Roman" w:hAnsi="Times New Roman" w:cs="Times New Roman"/>
          <w:sz w:val="24"/>
          <w:szCs w:val="24"/>
          <w:lang w:val="en-MY"/>
        </w:rPr>
        <w:t xml:space="preserve">, S., &amp; Rahman, M. R. C. A. (2007). Determinant Factors Affecting Quality of Reporting in Annual Report of Malaysian Companies. </w:t>
      </w:r>
      <w:r w:rsidRPr="00BA63BA">
        <w:rPr>
          <w:rFonts w:ascii="Times New Roman" w:hAnsi="Times New Roman" w:cs="Times New Roman"/>
          <w:i/>
          <w:iCs/>
          <w:sz w:val="24"/>
          <w:szCs w:val="24"/>
          <w:lang w:val="en-MY"/>
        </w:rPr>
        <w:t>Malaysian Accounting Review, 6</w:t>
      </w:r>
      <w:r w:rsidRPr="00BA63BA">
        <w:rPr>
          <w:rFonts w:ascii="Times New Roman" w:hAnsi="Times New Roman" w:cs="Times New Roman"/>
          <w:sz w:val="24"/>
          <w:szCs w:val="24"/>
          <w:lang w:val="en-MY"/>
        </w:rPr>
        <w:t>(2), 19-42.</w:t>
      </w:r>
    </w:p>
    <w:p w14:paraId="25C44E6B"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Jensen, M. C., &amp; </w:t>
      </w:r>
      <w:proofErr w:type="spellStart"/>
      <w:r w:rsidRPr="00BA63BA">
        <w:rPr>
          <w:rFonts w:ascii="Times New Roman" w:hAnsi="Times New Roman" w:cs="Times New Roman"/>
          <w:sz w:val="24"/>
          <w:szCs w:val="24"/>
        </w:rPr>
        <w:t>Meckling</w:t>
      </w:r>
      <w:proofErr w:type="spellEnd"/>
      <w:r w:rsidRPr="00BA63BA">
        <w:rPr>
          <w:rFonts w:ascii="Times New Roman" w:hAnsi="Times New Roman" w:cs="Times New Roman"/>
          <w:sz w:val="24"/>
          <w:szCs w:val="24"/>
        </w:rPr>
        <w:t>, W. H. (1976). Theory of the Firm: Managerial Behavior, Agency Costs and Ownership Structure.</w:t>
      </w:r>
      <w:r w:rsidRPr="00BA63BA">
        <w:rPr>
          <w:rFonts w:ascii="Times New Roman" w:hAnsi="Times New Roman" w:cs="Times New Roman"/>
          <w:i/>
          <w:iCs/>
          <w:sz w:val="24"/>
          <w:szCs w:val="24"/>
        </w:rPr>
        <w:t xml:space="preserve"> Journal of Financial Economics, 3</w:t>
      </w:r>
      <w:r w:rsidRPr="00BA63BA">
        <w:rPr>
          <w:rFonts w:ascii="Times New Roman" w:hAnsi="Times New Roman" w:cs="Times New Roman"/>
          <w:sz w:val="24"/>
          <w:szCs w:val="24"/>
        </w:rPr>
        <w:t>(4), 305-360.</w:t>
      </w:r>
    </w:p>
    <w:p w14:paraId="2741A4D6" w14:textId="77777777" w:rsidR="00F30FC1" w:rsidRPr="00BA63BA" w:rsidRDefault="00622832"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Klein, R. W., &amp; </w:t>
      </w:r>
      <w:proofErr w:type="spellStart"/>
      <w:r w:rsidRPr="00BA63BA">
        <w:rPr>
          <w:rFonts w:ascii="Times New Roman" w:hAnsi="Times New Roman" w:cs="Times New Roman"/>
          <w:sz w:val="24"/>
          <w:szCs w:val="24"/>
        </w:rPr>
        <w:t>Bawa</w:t>
      </w:r>
      <w:proofErr w:type="spellEnd"/>
      <w:r w:rsidRPr="00BA63BA">
        <w:rPr>
          <w:rFonts w:ascii="Times New Roman" w:hAnsi="Times New Roman" w:cs="Times New Roman"/>
          <w:sz w:val="24"/>
          <w:szCs w:val="24"/>
        </w:rPr>
        <w:t>, V. S. (197</w:t>
      </w:r>
      <w:r w:rsidR="00F30FC1" w:rsidRPr="00BA63BA">
        <w:rPr>
          <w:rFonts w:ascii="Times New Roman" w:hAnsi="Times New Roman" w:cs="Times New Roman"/>
          <w:sz w:val="24"/>
          <w:szCs w:val="24"/>
        </w:rPr>
        <w:t xml:space="preserve">6). On the Diversification, Observability, and Measurement of Estimation Risk. </w:t>
      </w:r>
      <w:r w:rsidR="00F30FC1" w:rsidRPr="00BA63BA">
        <w:rPr>
          <w:rFonts w:ascii="Times New Roman" w:hAnsi="Times New Roman" w:cs="Times New Roman"/>
          <w:i/>
          <w:iCs/>
          <w:sz w:val="24"/>
          <w:szCs w:val="24"/>
        </w:rPr>
        <w:t>The Journal of Financial and Quantitative Analysis, 31</w:t>
      </w:r>
      <w:r w:rsidR="00F30FC1" w:rsidRPr="00BA63BA">
        <w:rPr>
          <w:rFonts w:ascii="Times New Roman" w:hAnsi="Times New Roman" w:cs="Times New Roman"/>
          <w:sz w:val="24"/>
          <w:szCs w:val="24"/>
        </w:rPr>
        <w:t>(1), 69-84.</w:t>
      </w:r>
    </w:p>
    <w:p w14:paraId="475A997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Lang, M. H., &amp; </w:t>
      </w:r>
      <w:proofErr w:type="spellStart"/>
      <w:r w:rsidRPr="00BA63BA">
        <w:rPr>
          <w:rFonts w:ascii="Times New Roman" w:hAnsi="Times New Roman" w:cs="Times New Roman"/>
          <w:sz w:val="24"/>
          <w:szCs w:val="24"/>
        </w:rPr>
        <w:t>Lundholm</w:t>
      </w:r>
      <w:proofErr w:type="spellEnd"/>
      <w:r w:rsidRPr="00BA63BA">
        <w:rPr>
          <w:rFonts w:ascii="Times New Roman" w:hAnsi="Times New Roman" w:cs="Times New Roman"/>
          <w:sz w:val="24"/>
          <w:szCs w:val="24"/>
        </w:rPr>
        <w:t xml:space="preserve">, R. J. (1997). Voluntary Disclosure and Equity Offerings: Reducing Information Asymmetry or Hyping the Stock. </w:t>
      </w:r>
      <w:r w:rsidRPr="00BA63BA">
        <w:rPr>
          <w:rFonts w:ascii="Times New Roman" w:hAnsi="Times New Roman" w:cs="Times New Roman"/>
          <w:i/>
          <w:iCs/>
          <w:sz w:val="24"/>
          <w:szCs w:val="24"/>
        </w:rPr>
        <w:t>Contemporary Accounting Research, 17</w:t>
      </w:r>
      <w:r w:rsidRPr="00BA63BA">
        <w:rPr>
          <w:rFonts w:ascii="Times New Roman" w:hAnsi="Times New Roman" w:cs="Times New Roman"/>
          <w:sz w:val="24"/>
          <w:szCs w:val="24"/>
        </w:rPr>
        <w:t>(4), 623-662.</w:t>
      </w:r>
    </w:p>
    <w:p w14:paraId="760BE8D8"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Lang, M., &amp; </w:t>
      </w:r>
      <w:proofErr w:type="spellStart"/>
      <w:r w:rsidRPr="00BA63BA">
        <w:rPr>
          <w:rFonts w:ascii="Times New Roman" w:hAnsi="Times New Roman" w:cs="Times New Roman"/>
          <w:sz w:val="24"/>
          <w:szCs w:val="24"/>
        </w:rPr>
        <w:t>Lundholm</w:t>
      </w:r>
      <w:proofErr w:type="spellEnd"/>
      <w:r w:rsidRPr="00BA63BA">
        <w:rPr>
          <w:rFonts w:ascii="Times New Roman" w:hAnsi="Times New Roman" w:cs="Times New Roman"/>
          <w:sz w:val="24"/>
          <w:szCs w:val="24"/>
        </w:rPr>
        <w:t xml:space="preserve">, R. (1993). Cross-Sectional Determinants of Analyst Ratings of Corporate Disclosures. </w:t>
      </w:r>
      <w:r w:rsidRPr="00BA63BA">
        <w:rPr>
          <w:rFonts w:ascii="Times New Roman" w:hAnsi="Times New Roman" w:cs="Times New Roman"/>
          <w:i/>
          <w:iCs/>
          <w:sz w:val="24"/>
          <w:szCs w:val="24"/>
        </w:rPr>
        <w:t>Journal of Accounting Research, 31</w:t>
      </w:r>
      <w:r w:rsidRPr="00BA63BA">
        <w:rPr>
          <w:rFonts w:ascii="Times New Roman" w:hAnsi="Times New Roman" w:cs="Times New Roman"/>
          <w:sz w:val="24"/>
          <w:szCs w:val="24"/>
        </w:rPr>
        <w:t>(2), 246-271.</w:t>
      </w:r>
    </w:p>
    <w:p w14:paraId="45F80019"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Leland, H. E., &amp; Pyle, D. H. (1977). Informational Asymmetries, Financial Structure, and Financial Intermediation. </w:t>
      </w:r>
      <w:r w:rsidRPr="00BA63BA">
        <w:rPr>
          <w:rFonts w:ascii="Times New Roman" w:hAnsi="Times New Roman" w:cs="Times New Roman"/>
          <w:i/>
          <w:iCs/>
          <w:sz w:val="24"/>
          <w:szCs w:val="24"/>
        </w:rPr>
        <w:t>The Journal of Finance, 32</w:t>
      </w:r>
      <w:r w:rsidRPr="00BA63BA">
        <w:rPr>
          <w:rFonts w:ascii="Times New Roman" w:hAnsi="Times New Roman" w:cs="Times New Roman"/>
          <w:sz w:val="24"/>
          <w:szCs w:val="24"/>
        </w:rPr>
        <w:t>(2), 371-387.</w:t>
      </w:r>
    </w:p>
    <w:p w14:paraId="0F312453"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lang w:val="en-MY"/>
        </w:rPr>
      </w:pPr>
      <w:r w:rsidRPr="00BA63BA">
        <w:rPr>
          <w:rFonts w:ascii="Times New Roman" w:hAnsi="Times New Roman" w:cs="Times New Roman"/>
          <w:sz w:val="24"/>
          <w:szCs w:val="24"/>
          <w:lang w:val="en-MY"/>
        </w:rPr>
        <w:t xml:space="preserve">Lin, L. W. (2009). Corporate Social and Environmental Disclosure in Emerging Securities Markets. </w:t>
      </w:r>
      <w:r w:rsidRPr="00BA63BA">
        <w:rPr>
          <w:rFonts w:ascii="Times New Roman" w:hAnsi="Times New Roman" w:cs="Times New Roman"/>
          <w:i/>
          <w:iCs/>
          <w:sz w:val="24"/>
          <w:szCs w:val="24"/>
          <w:lang w:val="en-MY"/>
        </w:rPr>
        <w:t>North Carolina Journal of International Law and Commercial Regulation, 35</w:t>
      </w:r>
      <w:r w:rsidRPr="00BA63BA">
        <w:rPr>
          <w:rFonts w:ascii="Times New Roman" w:hAnsi="Times New Roman" w:cs="Times New Roman"/>
          <w:sz w:val="24"/>
          <w:szCs w:val="24"/>
          <w:lang w:val="en-MY"/>
        </w:rPr>
        <w:t>(1), 1-32.</w:t>
      </w:r>
    </w:p>
    <w:p w14:paraId="3EF2950D"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lastRenderedPageBreak/>
        <w:t>Lundholm</w:t>
      </w:r>
      <w:proofErr w:type="spellEnd"/>
      <w:r w:rsidRPr="00BA63BA">
        <w:rPr>
          <w:rFonts w:ascii="Times New Roman" w:hAnsi="Times New Roman" w:cs="Times New Roman"/>
          <w:sz w:val="24"/>
          <w:szCs w:val="24"/>
        </w:rPr>
        <w:t xml:space="preserve">, R., &amp; Myers, L. A. (2002). Bringing the Future Forward: The Effect of Disclosure on the Returns-Earnings Relation. </w:t>
      </w:r>
      <w:r w:rsidRPr="00BA63BA">
        <w:rPr>
          <w:rFonts w:ascii="Times New Roman" w:hAnsi="Times New Roman" w:cs="Times New Roman"/>
          <w:i/>
          <w:iCs/>
          <w:sz w:val="24"/>
          <w:szCs w:val="24"/>
        </w:rPr>
        <w:t>Journal of Accounting Research, 40</w:t>
      </w:r>
      <w:r w:rsidRPr="00BA63BA">
        <w:rPr>
          <w:rFonts w:ascii="Times New Roman" w:hAnsi="Times New Roman" w:cs="Times New Roman"/>
          <w:sz w:val="24"/>
          <w:szCs w:val="24"/>
        </w:rPr>
        <w:t>(3), 809-839.</w:t>
      </w:r>
    </w:p>
    <w:p w14:paraId="62350FF7"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Merton, R. C. (1987). A Simple Model of Capital Market Equilibrium with Incomplete Information. </w:t>
      </w:r>
      <w:r w:rsidR="0028529B" w:rsidRPr="00BA63BA">
        <w:rPr>
          <w:rFonts w:ascii="Times New Roman" w:hAnsi="Times New Roman" w:cs="Times New Roman"/>
          <w:i/>
          <w:iCs/>
          <w:sz w:val="24"/>
          <w:szCs w:val="24"/>
        </w:rPr>
        <w:t>Journal of Finance, 42</w:t>
      </w:r>
      <w:r w:rsidRPr="00BA63BA">
        <w:rPr>
          <w:rFonts w:ascii="Times New Roman" w:hAnsi="Times New Roman" w:cs="Times New Roman"/>
          <w:sz w:val="24"/>
          <w:szCs w:val="24"/>
        </w:rPr>
        <w:t>(3), 483-510.</w:t>
      </w:r>
    </w:p>
    <w:p w14:paraId="793986E8"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Myers, S. C., &amp; </w:t>
      </w:r>
      <w:proofErr w:type="spellStart"/>
      <w:r w:rsidRPr="00BA63BA">
        <w:rPr>
          <w:rFonts w:ascii="Times New Roman" w:hAnsi="Times New Roman" w:cs="Times New Roman"/>
          <w:sz w:val="24"/>
          <w:szCs w:val="24"/>
        </w:rPr>
        <w:t>Majlus</w:t>
      </w:r>
      <w:proofErr w:type="spellEnd"/>
      <w:r w:rsidRPr="00BA63BA">
        <w:rPr>
          <w:rFonts w:ascii="Times New Roman" w:hAnsi="Times New Roman" w:cs="Times New Roman"/>
          <w:sz w:val="24"/>
          <w:szCs w:val="24"/>
        </w:rPr>
        <w:t xml:space="preserve">, N. S. (1984). Corporate Financing and Investment Decisions when Firms have Information that Investors do not have. </w:t>
      </w:r>
      <w:r w:rsidRPr="00BA63BA">
        <w:rPr>
          <w:rFonts w:ascii="Times New Roman" w:hAnsi="Times New Roman" w:cs="Times New Roman"/>
          <w:i/>
          <w:iCs/>
          <w:sz w:val="24"/>
          <w:szCs w:val="24"/>
        </w:rPr>
        <w:t>Journal of Financial Economics, 13</w:t>
      </w:r>
      <w:r w:rsidRPr="00BA63BA">
        <w:rPr>
          <w:rFonts w:ascii="Times New Roman" w:hAnsi="Times New Roman" w:cs="Times New Roman"/>
          <w:sz w:val="24"/>
          <w:szCs w:val="24"/>
        </w:rPr>
        <w:t>, 187–222.</w:t>
      </w:r>
    </w:p>
    <w:p w14:paraId="33617E59"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Rahman, R. A., &amp; Ali, F. H. M. (2006). Board, Audit Committee, Culture and Earnings Management: Malaysian Evidence. </w:t>
      </w:r>
      <w:r w:rsidRPr="00BA63BA">
        <w:rPr>
          <w:rFonts w:ascii="Times New Roman" w:hAnsi="Times New Roman" w:cs="Times New Roman"/>
          <w:i/>
          <w:iCs/>
          <w:sz w:val="24"/>
          <w:szCs w:val="24"/>
        </w:rPr>
        <w:t>Managerial Auditing Journal, 21</w:t>
      </w:r>
      <w:r w:rsidRPr="00BA63BA">
        <w:rPr>
          <w:rFonts w:ascii="Times New Roman" w:hAnsi="Times New Roman" w:cs="Times New Roman"/>
          <w:sz w:val="24"/>
          <w:szCs w:val="24"/>
        </w:rPr>
        <w:t>(7), 783 - 804.</w:t>
      </w:r>
    </w:p>
    <w:p w14:paraId="783802D2"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Schleicher, T., &amp; Walker, M. (1999). Share Price Anticipation of Earnings and Management's Discussion of Operations and Financing. </w:t>
      </w:r>
      <w:r w:rsidRPr="00BA63BA">
        <w:rPr>
          <w:rFonts w:ascii="Times New Roman" w:hAnsi="Times New Roman" w:cs="Times New Roman"/>
          <w:i/>
          <w:iCs/>
          <w:sz w:val="24"/>
          <w:szCs w:val="24"/>
        </w:rPr>
        <w:t>Accounting and Business Research, 29</w:t>
      </w:r>
      <w:r w:rsidRPr="00BA63BA">
        <w:rPr>
          <w:rFonts w:ascii="Times New Roman" w:hAnsi="Times New Roman" w:cs="Times New Roman"/>
          <w:sz w:val="24"/>
          <w:szCs w:val="24"/>
        </w:rPr>
        <w:t>(4), 321-335.</w:t>
      </w:r>
    </w:p>
    <w:p w14:paraId="509BF14F"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Schleicher, T., </w:t>
      </w:r>
      <w:proofErr w:type="spellStart"/>
      <w:r w:rsidRPr="00BA63BA">
        <w:rPr>
          <w:rFonts w:ascii="Times New Roman" w:hAnsi="Times New Roman" w:cs="Times New Roman"/>
          <w:sz w:val="24"/>
          <w:szCs w:val="24"/>
        </w:rPr>
        <w:t>Hussainey</w:t>
      </w:r>
      <w:proofErr w:type="spellEnd"/>
      <w:r w:rsidRPr="00BA63BA">
        <w:rPr>
          <w:rFonts w:ascii="Times New Roman" w:hAnsi="Times New Roman" w:cs="Times New Roman"/>
          <w:sz w:val="24"/>
          <w:szCs w:val="24"/>
        </w:rPr>
        <w:t xml:space="preserve">, K., &amp; Walker, M. (2007). Loss Firms’ Annual Report Narratives and Share Price Anticipation of Earnings. </w:t>
      </w:r>
      <w:r w:rsidRPr="00BA63BA">
        <w:rPr>
          <w:rFonts w:ascii="Times New Roman" w:hAnsi="Times New Roman" w:cs="Times New Roman"/>
          <w:i/>
          <w:iCs/>
          <w:sz w:val="24"/>
          <w:szCs w:val="24"/>
        </w:rPr>
        <w:t>The British Accounting Review, 39</w:t>
      </w:r>
      <w:r w:rsidRPr="00BA63BA">
        <w:rPr>
          <w:rFonts w:ascii="Times New Roman" w:hAnsi="Times New Roman" w:cs="Times New Roman"/>
          <w:sz w:val="24"/>
          <w:szCs w:val="24"/>
        </w:rPr>
        <w:t>, 153-171.</w:t>
      </w:r>
    </w:p>
    <w:p w14:paraId="45F4BE81"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Skinner, D. J. (1994). Why Firms Voluntarily Disclose Bad News. </w:t>
      </w:r>
      <w:r w:rsidRPr="00BA63BA">
        <w:rPr>
          <w:rFonts w:ascii="Times New Roman" w:hAnsi="Times New Roman" w:cs="Times New Roman"/>
          <w:i/>
          <w:iCs/>
          <w:sz w:val="24"/>
          <w:szCs w:val="24"/>
        </w:rPr>
        <w:t>Journal of Accounting Research, 32</w:t>
      </w:r>
      <w:r w:rsidRPr="00BA63BA">
        <w:rPr>
          <w:rFonts w:ascii="Times New Roman" w:hAnsi="Times New Roman" w:cs="Times New Roman"/>
          <w:sz w:val="24"/>
          <w:szCs w:val="24"/>
        </w:rPr>
        <w:t>(1), 38-60.</w:t>
      </w:r>
    </w:p>
    <w:p w14:paraId="1AA8DFC0"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Smith, C. W., &amp; Watts, R. L. (1992). The Investment Opportunity Set and Corporate Financing, Dividend, and Compensation Policies. </w:t>
      </w:r>
      <w:r w:rsidRPr="00BA63BA">
        <w:rPr>
          <w:rFonts w:ascii="Times New Roman" w:hAnsi="Times New Roman" w:cs="Times New Roman"/>
          <w:i/>
          <w:iCs/>
          <w:sz w:val="24"/>
          <w:szCs w:val="24"/>
        </w:rPr>
        <w:t>Journal of Financial Economics, 32</w:t>
      </w:r>
      <w:r w:rsidRPr="00BA63BA">
        <w:rPr>
          <w:rFonts w:ascii="Times New Roman" w:hAnsi="Times New Roman" w:cs="Times New Roman"/>
          <w:sz w:val="24"/>
          <w:szCs w:val="24"/>
        </w:rPr>
        <w:t>, 263–292.</w:t>
      </w:r>
    </w:p>
    <w:p w14:paraId="788A38B6"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Spence, M. (1973). Job Market Signaling. </w:t>
      </w:r>
      <w:r w:rsidRPr="00BA63BA">
        <w:rPr>
          <w:rFonts w:ascii="Times New Roman" w:hAnsi="Times New Roman" w:cs="Times New Roman"/>
          <w:i/>
          <w:iCs/>
          <w:sz w:val="24"/>
          <w:szCs w:val="24"/>
        </w:rPr>
        <w:t>Quarterly Journal of Economics, 87</w:t>
      </w:r>
      <w:r w:rsidRPr="00BA63BA">
        <w:rPr>
          <w:rFonts w:ascii="Times New Roman" w:hAnsi="Times New Roman" w:cs="Times New Roman"/>
          <w:sz w:val="24"/>
          <w:szCs w:val="24"/>
        </w:rPr>
        <w:t>(3), 355-374.</w:t>
      </w:r>
    </w:p>
    <w:p w14:paraId="6545E73D"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BA63BA">
        <w:rPr>
          <w:rFonts w:ascii="Times New Roman" w:hAnsi="Times New Roman" w:cs="Times New Roman"/>
          <w:sz w:val="24"/>
          <w:szCs w:val="24"/>
        </w:rPr>
        <w:t>Suijs</w:t>
      </w:r>
      <w:proofErr w:type="spellEnd"/>
      <w:r w:rsidRPr="00BA63BA">
        <w:rPr>
          <w:rFonts w:ascii="Times New Roman" w:hAnsi="Times New Roman" w:cs="Times New Roman"/>
          <w:sz w:val="24"/>
          <w:szCs w:val="24"/>
        </w:rPr>
        <w:t xml:space="preserve">, J. (2007). Voluntary Disclosure of Information When Firms are Uncertain of Investor Response. </w:t>
      </w:r>
      <w:r w:rsidRPr="00BA63BA">
        <w:rPr>
          <w:rFonts w:ascii="Times New Roman" w:hAnsi="Times New Roman" w:cs="Times New Roman"/>
          <w:i/>
          <w:iCs/>
          <w:sz w:val="24"/>
          <w:szCs w:val="24"/>
        </w:rPr>
        <w:t>Journal of Accounting and Economics, 43</w:t>
      </w:r>
      <w:r w:rsidRPr="00BA63BA">
        <w:rPr>
          <w:rFonts w:ascii="Times New Roman" w:hAnsi="Times New Roman" w:cs="Times New Roman"/>
          <w:sz w:val="24"/>
          <w:szCs w:val="24"/>
        </w:rPr>
        <w:t>, 391–410.</w:t>
      </w:r>
    </w:p>
    <w:p w14:paraId="2E735371" w14:textId="77777777" w:rsidR="000E648F" w:rsidRPr="00BA63BA" w:rsidRDefault="000E648F" w:rsidP="00991BDA">
      <w:pPr>
        <w:autoSpaceDE w:val="0"/>
        <w:autoSpaceDN w:val="0"/>
        <w:adjustRightInd w:val="0"/>
        <w:spacing w:after="0" w:line="240" w:lineRule="auto"/>
        <w:ind w:left="720" w:hanging="720"/>
        <w:jc w:val="both"/>
        <w:rPr>
          <w:rFonts w:ascii="Times New Roman" w:hAnsi="Times New Roman" w:cs="Times New Roman"/>
          <w:sz w:val="24"/>
          <w:szCs w:val="24"/>
          <w:lang w:val="en-MY"/>
        </w:rPr>
      </w:pPr>
      <w:proofErr w:type="spellStart"/>
      <w:r w:rsidRPr="00BA63BA">
        <w:rPr>
          <w:rFonts w:ascii="Times New Roman" w:hAnsi="Times New Roman" w:cs="Times New Roman"/>
          <w:sz w:val="24"/>
          <w:szCs w:val="24"/>
          <w:lang w:val="en-MY"/>
        </w:rPr>
        <w:t>Unermana</w:t>
      </w:r>
      <w:proofErr w:type="spellEnd"/>
      <w:r w:rsidRPr="00BA63BA">
        <w:rPr>
          <w:rFonts w:ascii="Times New Roman" w:hAnsi="Times New Roman" w:cs="Times New Roman"/>
          <w:sz w:val="24"/>
          <w:szCs w:val="24"/>
          <w:lang w:val="en-MY"/>
        </w:rPr>
        <w:t xml:space="preserve">, J., &amp; </w:t>
      </w:r>
      <w:proofErr w:type="spellStart"/>
      <w:r w:rsidRPr="00BA63BA">
        <w:rPr>
          <w:rFonts w:ascii="Times New Roman" w:hAnsi="Times New Roman" w:cs="Times New Roman"/>
          <w:sz w:val="24"/>
          <w:szCs w:val="24"/>
          <w:lang w:val="en-MY"/>
        </w:rPr>
        <w:t>O’Dwyerb</w:t>
      </w:r>
      <w:proofErr w:type="spellEnd"/>
      <w:r w:rsidRPr="00BA63BA">
        <w:rPr>
          <w:rFonts w:ascii="Times New Roman" w:hAnsi="Times New Roman" w:cs="Times New Roman"/>
          <w:sz w:val="24"/>
          <w:szCs w:val="24"/>
          <w:lang w:val="en-MY"/>
        </w:rPr>
        <w:t xml:space="preserve">, B. (2004). Enron, WorldCom, Andersen et al.: </w:t>
      </w:r>
      <w:proofErr w:type="gramStart"/>
      <w:r w:rsidRPr="00BA63BA">
        <w:rPr>
          <w:rFonts w:ascii="Times New Roman" w:hAnsi="Times New Roman" w:cs="Times New Roman"/>
          <w:sz w:val="24"/>
          <w:szCs w:val="24"/>
          <w:lang w:val="en-MY"/>
        </w:rPr>
        <w:t>a</w:t>
      </w:r>
      <w:proofErr w:type="gramEnd"/>
      <w:r w:rsidRPr="00BA63BA">
        <w:rPr>
          <w:rFonts w:ascii="Times New Roman" w:hAnsi="Times New Roman" w:cs="Times New Roman"/>
          <w:sz w:val="24"/>
          <w:szCs w:val="24"/>
          <w:lang w:val="en-MY"/>
        </w:rPr>
        <w:t xml:space="preserve"> Challenge to Modernity. </w:t>
      </w:r>
      <w:r w:rsidRPr="00BA63BA">
        <w:rPr>
          <w:rFonts w:ascii="Times New Roman" w:hAnsi="Times New Roman" w:cs="Times New Roman"/>
          <w:i/>
          <w:iCs/>
          <w:sz w:val="24"/>
          <w:szCs w:val="24"/>
          <w:lang w:val="en-MY"/>
        </w:rPr>
        <w:t>Critical Perspectives on Accounting, 15</w:t>
      </w:r>
      <w:r w:rsidRPr="00BA63BA">
        <w:rPr>
          <w:rFonts w:ascii="Times New Roman" w:hAnsi="Times New Roman" w:cs="Times New Roman"/>
          <w:sz w:val="24"/>
          <w:szCs w:val="24"/>
          <w:lang w:val="en-MY"/>
        </w:rPr>
        <w:t>, 971–993.</w:t>
      </w:r>
    </w:p>
    <w:p w14:paraId="4189A264"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Watson, A., Shrives, P., &amp; Marston, C. (2002). Voluntary Disclosure of Accounting Ratios in UK. </w:t>
      </w:r>
      <w:r w:rsidRPr="00BA63BA">
        <w:rPr>
          <w:rFonts w:ascii="Times New Roman" w:hAnsi="Times New Roman" w:cs="Times New Roman"/>
          <w:i/>
          <w:iCs/>
          <w:sz w:val="24"/>
          <w:szCs w:val="24"/>
        </w:rPr>
        <w:t>British Accounting Review, 34</w:t>
      </w:r>
      <w:r w:rsidRPr="00BA63BA">
        <w:rPr>
          <w:rFonts w:ascii="Times New Roman" w:hAnsi="Times New Roman" w:cs="Times New Roman"/>
          <w:sz w:val="24"/>
          <w:szCs w:val="24"/>
        </w:rPr>
        <w:t>, 289-313.</w:t>
      </w:r>
    </w:p>
    <w:p w14:paraId="026AF828"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Watts, R. L., &amp; Zimmerman, J. L. (1978). Towards a Positive Theory of the Determination of Accounting Standards. </w:t>
      </w:r>
      <w:r w:rsidRPr="00BA63BA">
        <w:rPr>
          <w:rFonts w:ascii="Times New Roman" w:hAnsi="Times New Roman" w:cs="Times New Roman"/>
          <w:i/>
          <w:iCs/>
          <w:sz w:val="24"/>
          <w:szCs w:val="24"/>
        </w:rPr>
        <w:t xml:space="preserve">The </w:t>
      </w:r>
      <w:r w:rsidR="001F0FEE" w:rsidRPr="00BA63BA">
        <w:rPr>
          <w:rFonts w:ascii="Times New Roman" w:hAnsi="Times New Roman" w:cs="Times New Roman"/>
          <w:i/>
          <w:iCs/>
          <w:sz w:val="24"/>
          <w:szCs w:val="24"/>
        </w:rPr>
        <w:t>Accounting Review, 53</w:t>
      </w:r>
      <w:r w:rsidRPr="00BA63BA">
        <w:rPr>
          <w:rFonts w:ascii="Times New Roman" w:hAnsi="Times New Roman" w:cs="Times New Roman"/>
          <w:sz w:val="24"/>
          <w:szCs w:val="24"/>
        </w:rPr>
        <w:t>(1), 112-134.</w:t>
      </w:r>
    </w:p>
    <w:p w14:paraId="1C10FAA8"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Watts, R. L., &amp; Zimmerman, J. L. (1983). Agency Problems, Auditing, and the Theory of the Firm: Some Evidence. </w:t>
      </w:r>
      <w:r w:rsidRPr="00BA63BA">
        <w:rPr>
          <w:rFonts w:ascii="Times New Roman" w:hAnsi="Times New Roman" w:cs="Times New Roman"/>
          <w:i/>
          <w:iCs/>
          <w:sz w:val="24"/>
          <w:szCs w:val="24"/>
        </w:rPr>
        <w:t>Journal of Law and Economics, 26</w:t>
      </w:r>
      <w:r w:rsidRPr="00BA63BA">
        <w:rPr>
          <w:rFonts w:ascii="Times New Roman" w:hAnsi="Times New Roman" w:cs="Times New Roman"/>
          <w:sz w:val="24"/>
          <w:szCs w:val="24"/>
        </w:rPr>
        <w:t>, 613–634.</w:t>
      </w:r>
    </w:p>
    <w:p w14:paraId="314D9CC7"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Watts, R. L., &amp; Zimmerman, J. L. (1990). Positive Accounting Theory: A </w:t>
      </w:r>
      <w:proofErr w:type="gramStart"/>
      <w:r w:rsidRPr="00BA63BA">
        <w:rPr>
          <w:rFonts w:ascii="Times New Roman" w:hAnsi="Times New Roman" w:cs="Times New Roman"/>
          <w:sz w:val="24"/>
          <w:szCs w:val="24"/>
        </w:rPr>
        <w:t>Ten Year</w:t>
      </w:r>
      <w:proofErr w:type="gramEnd"/>
      <w:r w:rsidRPr="00BA63BA">
        <w:rPr>
          <w:rFonts w:ascii="Times New Roman" w:hAnsi="Times New Roman" w:cs="Times New Roman"/>
          <w:sz w:val="24"/>
          <w:szCs w:val="24"/>
        </w:rPr>
        <w:t xml:space="preserve"> Perspective. </w:t>
      </w:r>
      <w:r w:rsidRPr="00BA63BA">
        <w:rPr>
          <w:rFonts w:ascii="Times New Roman" w:hAnsi="Times New Roman" w:cs="Times New Roman"/>
          <w:i/>
          <w:iCs/>
          <w:sz w:val="24"/>
          <w:szCs w:val="24"/>
        </w:rPr>
        <w:t>The Accounting Review, 65</w:t>
      </w:r>
      <w:r w:rsidRPr="00BA63BA">
        <w:rPr>
          <w:rFonts w:ascii="Times New Roman" w:hAnsi="Times New Roman" w:cs="Times New Roman"/>
          <w:sz w:val="24"/>
          <w:szCs w:val="24"/>
        </w:rPr>
        <w:t>(1), 131-156.</w:t>
      </w:r>
    </w:p>
    <w:p w14:paraId="754F629C"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Wong, S. N. (2006). </w:t>
      </w:r>
      <w:r w:rsidRPr="00BA63BA">
        <w:rPr>
          <w:rFonts w:ascii="Times New Roman" w:hAnsi="Times New Roman" w:cs="Times New Roman"/>
          <w:i/>
          <w:iCs/>
          <w:sz w:val="24"/>
          <w:szCs w:val="24"/>
        </w:rPr>
        <w:t>Capital Markets Reform: Malaysia’s Experience.</w:t>
      </w:r>
      <w:r w:rsidRPr="00BA63BA">
        <w:rPr>
          <w:rFonts w:ascii="Times New Roman" w:hAnsi="Times New Roman" w:cs="Times New Roman"/>
          <w:sz w:val="24"/>
          <w:szCs w:val="24"/>
        </w:rPr>
        <w:t xml:space="preserve"> Paper presented at the Capital Market Master Plan, Washington D.C.</w:t>
      </w:r>
    </w:p>
    <w:p w14:paraId="2FFD5006" w14:textId="77777777" w:rsidR="00F30FC1"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lang w:val="en-MY"/>
        </w:rPr>
      </w:pPr>
      <w:proofErr w:type="spellStart"/>
      <w:r w:rsidRPr="00BA63BA">
        <w:rPr>
          <w:rFonts w:ascii="Times New Roman" w:hAnsi="Times New Roman" w:cs="Times New Roman"/>
          <w:sz w:val="24"/>
          <w:szCs w:val="24"/>
          <w:lang w:val="en-MY"/>
        </w:rPr>
        <w:t>Yau</w:t>
      </w:r>
      <w:proofErr w:type="spellEnd"/>
      <w:r w:rsidRPr="00BA63BA">
        <w:rPr>
          <w:rFonts w:ascii="Times New Roman" w:hAnsi="Times New Roman" w:cs="Times New Roman"/>
          <w:sz w:val="24"/>
          <w:szCs w:val="24"/>
          <w:lang w:val="en-MY"/>
        </w:rPr>
        <w:t xml:space="preserve">, F. S., Chun, L. S., &amp; </w:t>
      </w:r>
      <w:proofErr w:type="spellStart"/>
      <w:r w:rsidRPr="00BA63BA">
        <w:rPr>
          <w:rFonts w:ascii="Times New Roman" w:hAnsi="Times New Roman" w:cs="Times New Roman"/>
          <w:sz w:val="24"/>
          <w:szCs w:val="24"/>
          <w:lang w:val="en-MY"/>
        </w:rPr>
        <w:t>Balaraman</w:t>
      </w:r>
      <w:proofErr w:type="spellEnd"/>
      <w:r w:rsidRPr="00BA63BA">
        <w:rPr>
          <w:rFonts w:ascii="Times New Roman" w:hAnsi="Times New Roman" w:cs="Times New Roman"/>
          <w:sz w:val="24"/>
          <w:szCs w:val="24"/>
          <w:lang w:val="en-MY"/>
        </w:rPr>
        <w:t xml:space="preserve">, R. (2009). Intellectual Capital Reporting and Corporate Characteristics of Public-Listed Companies in Malaysia. </w:t>
      </w:r>
      <w:r w:rsidRPr="00BA63BA">
        <w:rPr>
          <w:rFonts w:ascii="Times New Roman" w:hAnsi="Times New Roman" w:cs="Times New Roman"/>
          <w:i/>
          <w:iCs/>
          <w:sz w:val="24"/>
          <w:szCs w:val="24"/>
          <w:lang w:val="en-MY"/>
        </w:rPr>
        <w:t>Jou</w:t>
      </w:r>
      <w:r w:rsidR="00780EA9" w:rsidRPr="00BA63BA">
        <w:rPr>
          <w:rFonts w:ascii="Times New Roman" w:hAnsi="Times New Roman" w:cs="Times New Roman"/>
          <w:i/>
          <w:iCs/>
          <w:sz w:val="24"/>
          <w:szCs w:val="24"/>
          <w:lang w:val="en-MY"/>
        </w:rPr>
        <w:t>rnal</w:t>
      </w:r>
      <w:r w:rsidRPr="00BA63BA">
        <w:rPr>
          <w:rFonts w:ascii="Times New Roman" w:hAnsi="Times New Roman" w:cs="Times New Roman"/>
          <w:i/>
          <w:iCs/>
          <w:sz w:val="24"/>
          <w:szCs w:val="24"/>
          <w:lang w:val="en-MY"/>
        </w:rPr>
        <w:t xml:space="preserve"> of Financial Reporting and Accounting, 7</w:t>
      </w:r>
      <w:r w:rsidRPr="00BA63BA">
        <w:rPr>
          <w:rFonts w:ascii="Times New Roman" w:hAnsi="Times New Roman" w:cs="Times New Roman"/>
          <w:sz w:val="24"/>
          <w:szCs w:val="24"/>
          <w:lang w:val="en-MY"/>
        </w:rPr>
        <w:t>(1), 17-35.</w:t>
      </w:r>
    </w:p>
    <w:p w14:paraId="58B46D31" w14:textId="77777777" w:rsidR="002E6A1D" w:rsidRPr="00BA63BA" w:rsidRDefault="00F30FC1" w:rsidP="00991BDA">
      <w:pPr>
        <w:autoSpaceDE w:val="0"/>
        <w:autoSpaceDN w:val="0"/>
        <w:adjustRightInd w:val="0"/>
        <w:spacing w:after="0" w:line="240" w:lineRule="auto"/>
        <w:ind w:left="720" w:hanging="720"/>
        <w:jc w:val="both"/>
        <w:rPr>
          <w:rFonts w:ascii="Times New Roman" w:hAnsi="Times New Roman" w:cs="Times New Roman"/>
          <w:sz w:val="24"/>
          <w:szCs w:val="24"/>
        </w:rPr>
      </w:pPr>
      <w:r w:rsidRPr="00BA63BA">
        <w:rPr>
          <w:rFonts w:ascii="Times New Roman" w:hAnsi="Times New Roman" w:cs="Times New Roman"/>
          <w:sz w:val="24"/>
          <w:szCs w:val="24"/>
        </w:rPr>
        <w:t xml:space="preserve">Zimmer, I. (1986). Accounting for Interest by Real Estate Developers. </w:t>
      </w:r>
      <w:r w:rsidRPr="00BA63BA">
        <w:rPr>
          <w:rFonts w:ascii="Times New Roman" w:hAnsi="Times New Roman" w:cs="Times New Roman"/>
          <w:i/>
          <w:iCs/>
          <w:sz w:val="24"/>
          <w:szCs w:val="24"/>
        </w:rPr>
        <w:t>Journal of Accounting and Economics, 8</w:t>
      </w:r>
      <w:r w:rsidRPr="00BA63BA">
        <w:rPr>
          <w:rFonts w:ascii="Times New Roman" w:hAnsi="Times New Roman" w:cs="Times New Roman"/>
          <w:sz w:val="24"/>
          <w:szCs w:val="24"/>
        </w:rPr>
        <w:t>(1), 37-51.</w:t>
      </w:r>
    </w:p>
    <w:p w14:paraId="1CCDCF2D" w14:textId="77777777" w:rsidR="0027188C" w:rsidRPr="00BA63BA" w:rsidRDefault="0027188C" w:rsidP="00991BDA">
      <w:pPr>
        <w:spacing w:after="0" w:line="240" w:lineRule="auto"/>
        <w:jc w:val="both"/>
        <w:rPr>
          <w:rFonts w:ascii="Times New Roman" w:hAnsi="Times New Roman" w:cs="Times New Roman"/>
          <w:sz w:val="24"/>
          <w:szCs w:val="24"/>
        </w:rPr>
      </w:pPr>
    </w:p>
    <w:p w14:paraId="1E91AF64" w14:textId="77777777" w:rsidR="0027188C" w:rsidRPr="00BA63BA" w:rsidRDefault="0027188C" w:rsidP="00991BDA">
      <w:pPr>
        <w:spacing w:after="0" w:line="240" w:lineRule="auto"/>
        <w:jc w:val="both"/>
        <w:rPr>
          <w:rFonts w:ascii="Times New Roman" w:hAnsi="Times New Roman" w:cs="Times New Roman"/>
          <w:sz w:val="24"/>
          <w:szCs w:val="24"/>
        </w:rPr>
      </w:pPr>
    </w:p>
    <w:sectPr w:rsidR="0027188C" w:rsidRPr="00BA63BA" w:rsidSect="004C6601">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864" w:left="2592" w:header="720" w:footer="572"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DFE74" w14:textId="77777777" w:rsidR="00F11360" w:rsidRDefault="00F11360" w:rsidP="006552FC">
      <w:pPr>
        <w:spacing w:after="0" w:line="240" w:lineRule="auto"/>
      </w:pPr>
      <w:r>
        <w:separator/>
      </w:r>
    </w:p>
  </w:endnote>
  <w:endnote w:type="continuationSeparator" w:id="0">
    <w:p w14:paraId="2855978E" w14:textId="77777777" w:rsidR="00F11360" w:rsidRDefault="00F11360" w:rsidP="0065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65EA" w14:textId="77777777" w:rsidR="004C6601" w:rsidRDefault="004C6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2A2F" w14:textId="0119195D" w:rsidR="004C6601" w:rsidRPr="004C6601" w:rsidRDefault="004C6601" w:rsidP="004C6601">
    <w:pPr>
      <w:pBdr>
        <w:top w:val="single" w:sz="4" w:space="1" w:color="auto"/>
      </w:pBdr>
      <w:tabs>
        <w:tab w:val="center" w:pos="4680"/>
        <w:tab w:val="right" w:pos="9000"/>
        <w:tab w:val="right" w:pos="9360"/>
      </w:tabs>
      <w:spacing w:after="0" w:line="240" w:lineRule="auto"/>
      <w:rPr>
        <w:rFonts w:ascii="Times New Roman" w:eastAsia="Calibri" w:hAnsi="Times New Roman" w:cs="Times New Roman"/>
        <w:sz w:val="20"/>
        <w:szCs w:val="20"/>
        <w:lang w:val="en-MY"/>
      </w:rPr>
    </w:pPr>
    <w:bookmarkStart w:id="2" w:name="_GoBack"/>
    <w:bookmarkEnd w:id="2"/>
    <w:r w:rsidRPr="004C6601">
      <w:rPr>
        <w:rFonts w:ascii="Times New Roman" w:eastAsia="Calibri" w:hAnsi="Times New Roman" w:cs="Times New Roman"/>
        <w:i/>
        <w:sz w:val="20"/>
        <w:szCs w:val="20"/>
        <w:lang w:val="en-MY"/>
      </w:rPr>
      <w:t>© 2019 UNIMAS All Rights Reserved</w:t>
    </w:r>
    <w:r w:rsidRPr="004C6601">
      <w:rPr>
        <w:rFonts w:ascii="Times New Roman" w:eastAsia="Calibri" w:hAnsi="Times New Roman" w:cs="Times New Roman"/>
        <w:sz w:val="20"/>
        <w:szCs w:val="20"/>
        <w:lang w:val="en-MY"/>
      </w:rPr>
      <w:t xml:space="preserve"> </w:t>
    </w:r>
    <w:r w:rsidRPr="004C6601">
      <w:rPr>
        <w:rFonts w:ascii="Times New Roman" w:eastAsia="Calibri" w:hAnsi="Times New Roman" w:cs="Times New Roman"/>
        <w:sz w:val="20"/>
        <w:szCs w:val="20"/>
        <w:lang w:val="en-MY"/>
      </w:rPr>
      <w:tab/>
    </w:r>
    <w:r>
      <w:rPr>
        <w:rFonts w:ascii="Times New Roman" w:eastAsia="Calibri" w:hAnsi="Times New Roman" w:cs="Times New Roman"/>
        <w:sz w:val="20"/>
        <w:szCs w:val="20"/>
        <w:lang w:val="en-MY"/>
      </w:rPr>
      <w:t xml:space="preserve">                                                                            </w:t>
    </w:r>
    <w:r w:rsidRPr="004C6601">
      <w:rPr>
        <w:rFonts w:ascii="Times New Roman" w:eastAsia="Calibri" w:hAnsi="Times New Roman" w:cs="Times New Roman"/>
        <w:color w:val="7F7F7F" w:themeColor="background1" w:themeShade="7F"/>
        <w:spacing w:val="60"/>
        <w:sz w:val="20"/>
        <w:szCs w:val="20"/>
        <w:lang w:val="en-MY"/>
      </w:rPr>
      <w:t>Page</w:t>
    </w:r>
    <w:r w:rsidRPr="004C6601">
      <w:rPr>
        <w:rFonts w:ascii="Times New Roman" w:eastAsia="Calibri" w:hAnsi="Times New Roman" w:cs="Times New Roman"/>
        <w:sz w:val="20"/>
        <w:szCs w:val="20"/>
        <w:lang w:val="en-MY"/>
      </w:rPr>
      <w:t xml:space="preserve"> | </w:t>
    </w:r>
    <w:r w:rsidRPr="004C6601">
      <w:rPr>
        <w:rFonts w:ascii="Times New Roman" w:eastAsia="Calibri" w:hAnsi="Times New Roman" w:cs="Times New Roman"/>
        <w:sz w:val="20"/>
        <w:szCs w:val="20"/>
        <w:lang w:val="en-MY"/>
      </w:rPr>
      <w:fldChar w:fldCharType="begin"/>
    </w:r>
    <w:r w:rsidRPr="004C6601">
      <w:rPr>
        <w:rFonts w:ascii="Times New Roman" w:eastAsia="Calibri" w:hAnsi="Times New Roman" w:cs="Times New Roman"/>
        <w:sz w:val="20"/>
        <w:szCs w:val="20"/>
        <w:lang w:val="en-MY"/>
      </w:rPr>
      <w:instrText xml:space="preserve"> PAGE   \* MERGEFORMAT </w:instrText>
    </w:r>
    <w:r w:rsidRPr="004C6601">
      <w:rPr>
        <w:rFonts w:ascii="Times New Roman" w:eastAsia="Calibri" w:hAnsi="Times New Roman" w:cs="Times New Roman"/>
        <w:sz w:val="20"/>
        <w:szCs w:val="20"/>
        <w:lang w:val="en-MY"/>
      </w:rPr>
      <w:fldChar w:fldCharType="separate"/>
    </w:r>
    <w:r w:rsidRPr="004C6601">
      <w:rPr>
        <w:rFonts w:ascii="Times New Roman" w:eastAsia="Calibri" w:hAnsi="Times New Roman" w:cs="Times New Roman"/>
        <w:b/>
        <w:bCs/>
        <w:noProof/>
        <w:sz w:val="20"/>
        <w:szCs w:val="20"/>
        <w:lang w:val="en-MY"/>
      </w:rPr>
      <w:t>1</w:t>
    </w:r>
    <w:r w:rsidRPr="004C6601">
      <w:rPr>
        <w:rFonts w:ascii="Times New Roman" w:eastAsia="Calibri" w:hAnsi="Times New Roman" w:cs="Times New Roman"/>
        <w:b/>
        <w:bCs/>
        <w:noProof/>
        <w:sz w:val="20"/>
        <w:szCs w:val="20"/>
        <w:lang w:val="en-MY"/>
      </w:rPr>
      <w:fldChar w:fldCharType="end"/>
    </w:r>
    <w:r w:rsidRPr="004C6601">
      <w:rPr>
        <w:rFonts w:ascii="Times New Roman" w:eastAsia="Calibri" w:hAnsi="Times New Roman" w:cs="Times New Roman"/>
        <w:sz w:val="20"/>
        <w:szCs w:val="20"/>
        <w:lang w:val="en-MY"/>
      </w:rPr>
      <w:t xml:space="preserve"> </w:t>
    </w:r>
  </w:p>
  <w:p w14:paraId="72352894" w14:textId="39EF53B5" w:rsidR="00244960" w:rsidRDefault="00244960">
    <w:pPr>
      <w:pStyle w:val="Footer"/>
      <w:jc w:val="right"/>
    </w:pPr>
  </w:p>
  <w:p w14:paraId="7C62B1EB" w14:textId="77777777" w:rsidR="00244960" w:rsidRDefault="00244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9164" w14:textId="77777777" w:rsidR="004C6601" w:rsidRDefault="004C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6EFF" w14:textId="77777777" w:rsidR="00F11360" w:rsidRDefault="00F11360" w:rsidP="006552FC">
      <w:pPr>
        <w:spacing w:after="0" w:line="240" w:lineRule="auto"/>
      </w:pPr>
      <w:r>
        <w:separator/>
      </w:r>
    </w:p>
  </w:footnote>
  <w:footnote w:type="continuationSeparator" w:id="0">
    <w:p w14:paraId="01F4E244" w14:textId="77777777" w:rsidR="00F11360" w:rsidRDefault="00F11360" w:rsidP="0065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8ACD" w14:textId="77777777" w:rsidR="004C6601" w:rsidRDefault="004C6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4F9C" w14:textId="77777777" w:rsidR="004C6601" w:rsidRPr="004C6601" w:rsidRDefault="004C6601" w:rsidP="004C6601">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val="en-MY"/>
      </w:rPr>
    </w:pPr>
    <w:r w:rsidRPr="004C6601">
      <w:rPr>
        <w:rFonts w:ascii="Times New Roman" w:eastAsia="Calibri" w:hAnsi="Times New Roman" w:cs="Times New Roman"/>
        <w:i/>
        <w:sz w:val="20"/>
        <w:szCs w:val="20"/>
        <w:lang w:val="en-MY"/>
      </w:rPr>
      <w:t>UNIMAS Review of Accounting and Finance</w:t>
    </w:r>
  </w:p>
  <w:p w14:paraId="0D37CCC5" w14:textId="77777777" w:rsidR="004C6601" w:rsidRPr="004C6601" w:rsidRDefault="004C6601" w:rsidP="004C6601">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val="en-MY"/>
      </w:rPr>
    </w:pPr>
    <w:r w:rsidRPr="004C6601">
      <w:rPr>
        <w:rFonts w:ascii="Times New Roman" w:eastAsia="Calibri" w:hAnsi="Times New Roman" w:cs="Times New Roman"/>
        <w:i/>
        <w:sz w:val="20"/>
        <w:szCs w:val="20"/>
        <w:lang w:val="en-MY"/>
      </w:rPr>
      <w:t>Vol.2 No. 1 2019</w:t>
    </w:r>
  </w:p>
  <w:p w14:paraId="605A456A" w14:textId="77777777" w:rsidR="004C6601" w:rsidRDefault="004C6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F5A3" w14:textId="77777777" w:rsidR="004C6601" w:rsidRDefault="004C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CCB"/>
    <w:multiLevelType w:val="multilevel"/>
    <w:tmpl w:val="12049F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60DC"/>
    <w:multiLevelType w:val="multilevel"/>
    <w:tmpl w:val="6C6AA1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CE0BD4"/>
    <w:multiLevelType w:val="hybridMultilevel"/>
    <w:tmpl w:val="CD92FF2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906BB8"/>
    <w:multiLevelType w:val="multilevel"/>
    <w:tmpl w:val="76B467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0143098"/>
    <w:multiLevelType w:val="hybridMultilevel"/>
    <w:tmpl w:val="DA6CFCA6"/>
    <w:lvl w:ilvl="0" w:tplc="44090011">
      <w:start w:val="1"/>
      <w:numFmt w:val="decimal"/>
      <w:lvlText w:val="%1)"/>
      <w:lvlJc w:val="left"/>
      <w:pPr>
        <w:ind w:left="1778" w:hanging="36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2FC"/>
    <w:rsid w:val="000013F9"/>
    <w:rsid w:val="00001AB6"/>
    <w:rsid w:val="00001B46"/>
    <w:rsid w:val="00010ACF"/>
    <w:rsid w:val="000116E6"/>
    <w:rsid w:val="00012D28"/>
    <w:rsid w:val="0001512C"/>
    <w:rsid w:val="000277C1"/>
    <w:rsid w:val="00030E12"/>
    <w:rsid w:val="00032093"/>
    <w:rsid w:val="00033BD9"/>
    <w:rsid w:val="0003481D"/>
    <w:rsid w:val="00041569"/>
    <w:rsid w:val="00041FB8"/>
    <w:rsid w:val="00043EDA"/>
    <w:rsid w:val="00043F8B"/>
    <w:rsid w:val="000441E5"/>
    <w:rsid w:val="00045436"/>
    <w:rsid w:val="00045CBA"/>
    <w:rsid w:val="000470A5"/>
    <w:rsid w:val="000515A3"/>
    <w:rsid w:val="0005388F"/>
    <w:rsid w:val="000545AC"/>
    <w:rsid w:val="00055A9A"/>
    <w:rsid w:val="000560D1"/>
    <w:rsid w:val="00060446"/>
    <w:rsid w:val="000608A5"/>
    <w:rsid w:val="00061BEC"/>
    <w:rsid w:val="00063647"/>
    <w:rsid w:val="00064321"/>
    <w:rsid w:val="000648D4"/>
    <w:rsid w:val="00064940"/>
    <w:rsid w:val="00064A16"/>
    <w:rsid w:val="000656E2"/>
    <w:rsid w:val="00065F0D"/>
    <w:rsid w:val="00070438"/>
    <w:rsid w:val="0007144E"/>
    <w:rsid w:val="00073B0C"/>
    <w:rsid w:val="00074203"/>
    <w:rsid w:val="00074BCE"/>
    <w:rsid w:val="0007543D"/>
    <w:rsid w:val="00080C20"/>
    <w:rsid w:val="000810E9"/>
    <w:rsid w:val="00084B09"/>
    <w:rsid w:val="000859CA"/>
    <w:rsid w:val="000950B3"/>
    <w:rsid w:val="00095B54"/>
    <w:rsid w:val="000971DE"/>
    <w:rsid w:val="00097530"/>
    <w:rsid w:val="000A107F"/>
    <w:rsid w:val="000A2463"/>
    <w:rsid w:val="000A4F98"/>
    <w:rsid w:val="000A53BE"/>
    <w:rsid w:val="000A566B"/>
    <w:rsid w:val="000B217F"/>
    <w:rsid w:val="000B3BF0"/>
    <w:rsid w:val="000B5008"/>
    <w:rsid w:val="000B5142"/>
    <w:rsid w:val="000B6CC0"/>
    <w:rsid w:val="000B79FF"/>
    <w:rsid w:val="000C1472"/>
    <w:rsid w:val="000C1FF1"/>
    <w:rsid w:val="000C36D3"/>
    <w:rsid w:val="000C6707"/>
    <w:rsid w:val="000D0D6C"/>
    <w:rsid w:val="000D659E"/>
    <w:rsid w:val="000E5FCB"/>
    <w:rsid w:val="000E648F"/>
    <w:rsid w:val="000E687D"/>
    <w:rsid w:val="000E7903"/>
    <w:rsid w:val="000F000E"/>
    <w:rsid w:val="000F0280"/>
    <w:rsid w:val="000F1DF0"/>
    <w:rsid w:val="000F6731"/>
    <w:rsid w:val="00100414"/>
    <w:rsid w:val="001023EC"/>
    <w:rsid w:val="00102602"/>
    <w:rsid w:val="00105BF1"/>
    <w:rsid w:val="00105EFC"/>
    <w:rsid w:val="001077A7"/>
    <w:rsid w:val="001104AF"/>
    <w:rsid w:val="001108E4"/>
    <w:rsid w:val="00111278"/>
    <w:rsid w:val="001139A3"/>
    <w:rsid w:val="00117041"/>
    <w:rsid w:val="001174F7"/>
    <w:rsid w:val="001222CD"/>
    <w:rsid w:val="001247AE"/>
    <w:rsid w:val="001249D8"/>
    <w:rsid w:val="00126332"/>
    <w:rsid w:val="00126EAC"/>
    <w:rsid w:val="00130F2F"/>
    <w:rsid w:val="001415C0"/>
    <w:rsid w:val="0014183D"/>
    <w:rsid w:val="00142FD8"/>
    <w:rsid w:val="00143A4D"/>
    <w:rsid w:val="0014496F"/>
    <w:rsid w:val="00145E24"/>
    <w:rsid w:val="00146194"/>
    <w:rsid w:val="00151D0C"/>
    <w:rsid w:val="00152560"/>
    <w:rsid w:val="00154506"/>
    <w:rsid w:val="00154C4B"/>
    <w:rsid w:val="0016023B"/>
    <w:rsid w:val="00162C85"/>
    <w:rsid w:val="00165D05"/>
    <w:rsid w:val="00166D59"/>
    <w:rsid w:val="00166EA9"/>
    <w:rsid w:val="00171EEB"/>
    <w:rsid w:val="00176E02"/>
    <w:rsid w:val="00182A40"/>
    <w:rsid w:val="00183BAB"/>
    <w:rsid w:val="00183D12"/>
    <w:rsid w:val="00184927"/>
    <w:rsid w:val="00186284"/>
    <w:rsid w:val="00196253"/>
    <w:rsid w:val="00197131"/>
    <w:rsid w:val="001A1073"/>
    <w:rsid w:val="001A3DDC"/>
    <w:rsid w:val="001A755A"/>
    <w:rsid w:val="001B1464"/>
    <w:rsid w:val="001B1637"/>
    <w:rsid w:val="001B46C2"/>
    <w:rsid w:val="001B7350"/>
    <w:rsid w:val="001C2E24"/>
    <w:rsid w:val="001C7AA5"/>
    <w:rsid w:val="001D1D21"/>
    <w:rsid w:val="001D2F4F"/>
    <w:rsid w:val="001D3450"/>
    <w:rsid w:val="001D5374"/>
    <w:rsid w:val="001D5EF1"/>
    <w:rsid w:val="001E60E0"/>
    <w:rsid w:val="001E6A4B"/>
    <w:rsid w:val="001E70B9"/>
    <w:rsid w:val="001F0052"/>
    <w:rsid w:val="001F0FEE"/>
    <w:rsid w:val="001F1362"/>
    <w:rsid w:val="001F2E6D"/>
    <w:rsid w:val="001F3506"/>
    <w:rsid w:val="001F7CA4"/>
    <w:rsid w:val="002001B5"/>
    <w:rsid w:val="002009D4"/>
    <w:rsid w:val="0020126F"/>
    <w:rsid w:val="002015D0"/>
    <w:rsid w:val="00202FAB"/>
    <w:rsid w:val="002046C6"/>
    <w:rsid w:val="00207A6D"/>
    <w:rsid w:val="00207A8C"/>
    <w:rsid w:val="00210892"/>
    <w:rsid w:val="00211047"/>
    <w:rsid w:val="00212A55"/>
    <w:rsid w:val="00215A46"/>
    <w:rsid w:val="00215C79"/>
    <w:rsid w:val="00215E1A"/>
    <w:rsid w:val="002161DE"/>
    <w:rsid w:val="00217840"/>
    <w:rsid w:val="00217862"/>
    <w:rsid w:val="002211BE"/>
    <w:rsid w:val="00221B32"/>
    <w:rsid w:val="00224AC6"/>
    <w:rsid w:val="00226F77"/>
    <w:rsid w:val="00243DEA"/>
    <w:rsid w:val="00244960"/>
    <w:rsid w:val="00246451"/>
    <w:rsid w:val="002473AD"/>
    <w:rsid w:val="002526BA"/>
    <w:rsid w:val="00252BB5"/>
    <w:rsid w:val="00256566"/>
    <w:rsid w:val="00260E00"/>
    <w:rsid w:val="00261979"/>
    <w:rsid w:val="00262E9E"/>
    <w:rsid w:val="00265264"/>
    <w:rsid w:val="00266851"/>
    <w:rsid w:val="00266F57"/>
    <w:rsid w:val="0027188C"/>
    <w:rsid w:val="00272CEB"/>
    <w:rsid w:val="002815B0"/>
    <w:rsid w:val="00282ED7"/>
    <w:rsid w:val="00283003"/>
    <w:rsid w:val="00283428"/>
    <w:rsid w:val="00283A83"/>
    <w:rsid w:val="0028529B"/>
    <w:rsid w:val="00286115"/>
    <w:rsid w:val="00286ECC"/>
    <w:rsid w:val="002931F8"/>
    <w:rsid w:val="0029344B"/>
    <w:rsid w:val="002A1CFD"/>
    <w:rsid w:val="002A4536"/>
    <w:rsid w:val="002A4AA7"/>
    <w:rsid w:val="002A4EA6"/>
    <w:rsid w:val="002A5BF9"/>
    <w:rsid w:val="002A6251"/>
    <w:rsid w:val="002A7C82"/>
    <w:rsid w:val="002B158E"/>
    <w:rsid w:val="002B2705"/>
    <w:rsid w:val="002B2C9A"/>
    <w:rsid w:val="002B309B"/>
    <w:rsid w:val="002B4E4A"/>
    <w:rsid w:val="002B609B"/>
    <w:rsid w:val="002C21DD"/>
    <w:rsid w:val="002C380D"/>
    <w:rsid w:val="002C3E7A"/>
    <w:rsid w:val="002C4D5E"/>
    <w:rsid w:val="002C6CCB"/>
    <w:rsid w:val="002C7509"/>
    <w:rsid w:val="002D038C"/>
    <w:rsid w:val="002D07E0"/>
    <w:rsid w:val="002D2C0B"/>
    <w:rsid w:val="002D52A2"/>
    <w:rsid w:val="002D5368"/>
    <w:rsid w:val="002E42C0"/>
    <w:rsid w:val="002E6280"/>
    <w:rsid w:val="002E6A1D"/>
    <w:rsid w:val="002E77FE"/>
    <w:rsid w:val="002F1D0A"/>
    <w:rsid w:val="002F3554"/>
    <w:rsid w:val="002F467C"/>
    <w:rsid w:val="002F5FBD"/>
    <w:rsid w:val="002F6ADE"/>
    <w:rsid w:val="00302D6B"/>
    <w:rsid w:val="00306A92"/>
    <w:rsid w:val="003110C2"/>
    <w:rsid w:val="00312FBA"/>
    <w:rsid w:val="00313E9C"/>
    <w:rsid w:val="00315801"/>
    <w:rsid w:val="00322232"/>
    <w:rsid w:val="00323181"/>
    <w:rsid w:val="00323790"/>
    <w:rsid w:val="00324BA0"/>
    <w:rsid w:val="00324F89"/>
    <w:rsid w:val="003311C7"/>
    <w:rsid w:val="00331FFE"/>
    <w:rsid w:val="00336357"/>
    <w:rsid w:val="00336CAF"/>
    <w:rsid w:val="0033723E"/>
    <w:rsid w:val="003375A2"/>
    <w:rsid w:val="0034013D"/>
    <w:rsid w:val="00342ED3"/>
    <w:rsid w:val="0034569D"/>
    <w:rsid w:val="00345CCA"/>
    <w:rsid w:val="00350332"/>
    <w:rsid w:val="0035312E"/>
    <w:rsid w:val="00361A31"/>
    <w:rsid w:val="00361E6E"/>
    <w:rsid w:val="00362121"/>
    <w:rsid w:val="00362B48"/>
    <w:rsid w:val="003656A2"/>
    <w:rsid w:val="003668E8"/>
    <w:rsid w:val="003669F6"/>
    <w:rsid w:val="00372298"/>
    <w:rsid w:val="00374AA8"/>
    <w:rsid w:val="00381651"/>
    <w:rsid w:val="00381852"/>
    <w:rsid w:val="00384E78"/>
    <w:rsid w:val="00384E9C"/>
    <w:rsid w:val="0038767D"/>
    <w:rsid w:val="00390E10"/>
    <w:rsid w:val="00391B78"/>
    <w:rsid w:val="00393D10"/>
    <w:rsid w:val="00397E10"/>
    <w:rsid w:val="003A1757"/>
    <w:rsid w:val="003A1CBC"/>
    <w:rsid w:val="003A26FB"/>
    <w:rsid w:val="003A52DD"/>
    <w:rsid w:val="003A7B1E"/>
    <w:rsid w:val="003B393E"/>
    <w:rsid w:val="003B5288"/>
    <w:rsid w:val="003B6BEF"/>
    <w:rsid w:val="003B7D1F"/>
    <w:rsid w:val="003C01CF"/>
    <w:rsid w:val="003C1DE2"/>
    <w:rsid w:val="003C214D"/>
    <w:rsid w:val="003C2DB2"/>
    <w:rsid w:val="003C3E47"/>
    <w:rsid w:val="003C4307"/>
    <w:rsid w:val="003C6DE5"/>
    <w:rsid w:val="003D0EAA"/>
    <w:rsid w:val="003D0EC4"/>
    <w:rsid w:val="003D13EA"/>
    <w:rsid w:val="003D179F"/>
    <w:rsid w:val="003D22AF"/>
    <w:rsid w:val="003D3A61"/>
    <w:rsid w:val="003D717F"/>
    <w:rsid w:val="003E0324"/>
    <w:rsid w:val="003E0F3A"/>
    <w:rsid w:val="003E1174"/>
    <w:rsid w:val="003E3FEB"/>
    <w:rsid w:val="003E6DAE"/>
    <w:rsid w:val="003F0BA9"/>
    <w:rsid w:val="003F22C5"/>
    <w:rsid w:val="003F3651"/>
    <w:rsid w:val="003F5CC3"/>
    <w:rsid w:val="003F7C03"/>
    <w:rsid w:val="0040101F"/>
    <w:rsid w:val="004024DB"/>
    <w:rsid w:val="004040CF"/>
    <w:rsid w:val="004045E6"/>
    <w:rsid w:val="004046E5"/>
    <w:rsid w:val="00405E99"/>
    <w:rsid w:val="004100FF"/>
    <w:rsid w:val="00413083"/>
    <w:rsid w:val="00414B8F"/>
    <w:rsid w:val="00415798"/>
    <w:rsid w:val="00420FC4"/>
    <w:rsid w:val="00422CE0"/>
    <w:rsid w:val="0042515A"/>
    <w:rsid w:val="0042559B"/>
    <w:rsid w:val="0043007B"/>
    <w:rsid w:val="00434CBD"/>
    <w:rsid w:val="004374C8"/>
    <w:rsid w:val="00441B41"/>
    <w:rsid w:val="00442AC8"/>
    <w:rsid w:val="00443705"/>
    <w:rsid w:val="00444C76"/>
    <w:rsid w:val="00446EE9"/>
    <w:rsid w:val="00450428"/>
    <w:rsid w:val="004505C0"/>
    <w:rsid w:val="00450BD4"/>
    <w:rsid w:val="0045338B"/>
    <w:rsid w:val="004629C4"/>
    <w:rsid w:val="004712BA"/>
    <w:rsid w:val="00471441"/>
    <w:rsid w:val="00473C2E"/>
    <w:rsid w:val="00474852"/>
    <w:rsid w:val="004768CA"/>
    <w:rsid w:val="00477BDF"/>
    <w:rsid w:val="004810DE"/>
    <w:rsid w:val="004823FC"/>
    <w:rsid w:val="00482BA6"/>
    <w:rsid w:val="0048335F"/>
    <w:rsid w:val="004949A0"/>
    <w:rsid w:val="00495307"/>
    <w:rsid w:val="004966F3"/>
    <w:rsid w:val="00497242"/>
    <w:rsid w:val="00497E7C"/>
    <w:rsid w:val="004A1E2C"/>
    <w:rsid w:val="004A2ABF"/>
    <w:rsid w:val="004A3B0C"/>
    <w:rsid w:val="004A6E70"/>
    <w:rsid w:val="004B0F18"/>
    <w:rsid w:val="004B2BD7"/>
    <w:rsid w:val="004B2C44"/>
    <w:rsid w:val="004B48F8"/>
    <w:rsid w:val="004B5523"/>
    <w:rsid w:val="004C12D5"/>
    <w:rsid w:val="004C2E85"/>
    <w:rsid w:val="004C6601"/>
    <w:rsid w:val="004C7B7B"/>
    <w:rsid w:val="004D19FC"/>
    <w:rsid w:val="004D1B93"/>
    <w:rsid w:val="004D2D3D"/>
    <w:rsid w:val="004D341D"/>
    <w:rsid w:val="004D3986"/>
    <w:rsid w:val="004D400A"/>
    <w:rsid w:val="004E134B"/>
    <w:rsid w:val="004E20CE"/>
    <w:rsid w:val="004E58C8"/>
    <w:rsid w:val="004F2355"/>
    <w:rsid w:val="004F2899"/>
    <w:rsid w:val="004F4B63"/>
    <w:rsid w:val="004F5E7C"/>
    <w:rsid w:val="004F7930"/>
    <w:rsid w:val="00501250"/>
    <w:rsid w:val="0052165B"/>
    <w:rsid w:val="005251DA"/>
    <w:rsid w:val="005274D3"/>
    <w:rsid w:val="00527970"/>
    <w:rsid w:val="00530259"/>
    <w:rsid w:val="005312AE"/>
    <w:rsid w:val="00535B38"/>
    <w:rsid w:val="00536B6E"/>
    <w:rsid w:val="00536C4E"/>
    <w:rsid w:val="0054025E"/>
    <w:rsid w:val="00540705"/>
    <w:rsid w:val="00540E28"/>
    <w:rsid w:val="0054112D"/>
    <w:rsid w:val="00541344"/>
    <w:rsid w:val="00541B5D"/>
    <w:rsid w:val="00542A70"/>
    <w:rsid w:val="00542B60"/>
    <w:rsid w:val="00546668"/>
    <w:rsid w:val="00546767"/>
    <w:rsid w:val="005472A4"/>
    <w:rsid w:val="00547D6E"/>
    <w:rsid w:val="00550627"/>
    <w:rsid w:val="00550EEC"/>
    <w:rsid w:val="00552B96"/>
    <w:rsid w:val="005543D1"/>
    <w:rsid w:val="00554C40"/>
    <w:rsid w:val="005578F4"/>
    <w:rsid w:val="00563819"/>
    <w:rsid w:val="00564970"/>
    <w:rsid w:val="00567529"/>
    <w:rsid w:val="00577B4F"/>
    <w:rsid w:val="00577C85"/>
    <w:rsid w:val="00582B43"/>
    <w:rsid w:val="0058301B"/>
    <w:rsid w:val="00585628"/>
    <w:rsid w:val="005902AC"/>
    <w:rsid w:val="00593234"/>
    <w:rsid w:val="00594584"/>
    <w:rsid w:val="005967E2"/>
    <w:rsid w:val="00597F2E"/>
    <w:rsid w:val="005A0C9E"/>
    <w:rsid w:val="005A11CF"/>
    <w:rsid w:val="005A120B"/>
    <w:rsid w:val="005A259A"/>
    <w:rsid w:val="005A633D"/>
    <w:rsid w:val="005A7007"/>
    <w:rsid w:val="005A75BE"/>
    <w:rsid w:val="005A7F07"/>
    <w:rsid w:val="005B2390"/>
    <w:rsid w:val="005B2553"/>
    <w:rsid w:val="005B3F0B"/>
    <w:rsid w:val="005B65DD"/>
    <w:rsid w:val="005C72C1"/>
    <w:rsid w:val="005C74E5"/>
    <w:rsid w:val="005D0390"/>
    <w:rsid w:val="005D2EDD"/>
    <w:rsid w:val="005D31C8"/>
    <w:rsid w:val="005D377C"/>
    <w:rsid w:val="005D65F7"/>
    <w:rsid w:val="005D7B64"/>
    <w:rsid w:val="005E08FE"/>
    <w:rsid w:val="005E107F"/>
    <w:rsid w:val="005E19F5"/>
    <w:rsid w:val="005E40DD"/>
    <w:rsid w:val="005E71D5"/>
    <w:rsid w:val="005F20B7"/>
    <w:rsid w:val="005F24CB"/>
    <w:rsid w:val="005F3CD8"/>
    <w:rsid w:val="00600ABD"/>
    <w:rsid w:val="00600FA0"/>
    <w:rsid w:val="00601DA6"/>
    <w:rsid w:val="006038E7"/>
    <w:rsid w:val="00605BB9"/>
    <w:rsid w:val="0060767D"/>
    <w:rsid w:val="006114D4"/>
    <w:rsid w:val="0061678E"/>
    <w:rsid w:val="00616CC5"/>
    <w:rsid w:val="006215E6"/>
    <w:rsid w:val="00622832"/>
    <w:rsid w:val="00622B7F"/>
    <w:rsid w:val="00622CF2"/>
    <w:rsid w:val="00622D5E"/>
    <w:rsid w:val="00622E2A"/>
    <w:rsid w:val="00623807"/>
    <w:rsid w:val="00623C96"/>
    <w:rsid w:val="00626D83"/>
    <w:rsid w:val="00627FF9"/>
    <w:rsid w:val="00630C73"/>
    <w:rsid w:val="006344A7"/>
    <w:rsid w:val="00634A7A"/>
    <w:rsid w:val="00637092"/>
    <w:rsid w:val="0063795F"/>
    <w:rsid w:val="00641BE3"/>
    <w:rsid w:val="00642365"/>
    <w:rsid w:val="0065058A"/>
    <w:rsid w:val="00652020"/>
    <w:rsid w:val="00653005"/>
    <w:rsid w:val="006552FC"/>
    <w:rsid w:val="00655D69"/>
    <w:rsid w:val="00662B65"/>
    <w:rsid w:val="00662D9D"/>
    <w:rsid w:val="006632BC"/>
    <w:rsid w:val="00663C72"/>
    <w:rsid w:val="0066688D"/>
    <w:rsid w:val="0066781B"/>
    <w:rsid w:val="00667D81"/>
    <w:rsid w:val="00673FB3"/>
    <w:rsid w:val="006759B1"/>
    <w:rsid w:val="00676EB2"/>
    <w:rsid w:val="006775C4"/>
    <w:rsid w:val="00677666"/>
    <w:rsid w:val="006816A3"/>
    <w:rsid w:val="00687D8D"/>
    <w:rsid w:val="0069068B"/>
    <w:rsid w:val="00691650"/>
    <w:rsid w:val="0069379D"/>
    <w:rsid w:val="006947F3"/>
    <w:rsid w:val="00694CA0"/>
    <w:rsid w:val="00697BFD"/>
    <w:rsid w:val="006A14FB"/>
    <w:rsid w:val="006A2794"/>
    <w:rsid w:val="006A6BA3"/>
    <w:rsid w:val="006A7D4F"/>
    <w:rsid w:val="006B194D"/>
    <w:rsid w:val="006B23E8"/>
    <w:rsid w:val="006B37A5"/>
    <w:rsid w:val="006B45DE"/>
    <w:rsid w:val="006B46CE"/>
    <w:rsid w:val="006B4EAD"/>
    <w:rsid w:val="006B50EC"/>
    <w:rsid w:val="006B7E06"/>
    <w:rsid w:val="006C028B"/>
    <w:rsid w:val="006C0332"/>
    <w:rsid w:val="006C0A05"/>
    <w:rsid w:val="006C0E45"/>
    <w:rsid w:val="006C18E8"/>
    <w:rsid w:val="006C1AF6"/>
    <w:rsid w:val="006C6D90"/>
    <w:rsid w:val="006C79FF"/>
    <w:rsid w:val="006C7B34"/>
    <w:rsid w:val="006C7D49"/>
    <w:rsid w:val="006D1ADF"/>
    <w:rsid w:val="006D4AE7"/>
    <w:rsid w:val="006E0D2D"/>
    <w:rsid w:val="006E186B"/>
    <w:rsid w:val="006E1AC0"/>
    <w:rsid w:val="006E2689"/>
    <w:rsid w:val="006E5136"/>
    <w:rsid w:val="006F11D4"/>
    <w:rsid w:val="006F4B47"/>
    <w:rsid w:val="006F670D"/>
    <w:rsid w:val="006F6E0D"/>
    <w:rsid w:val="00702EF8"/>
    <w:rsid w:val="00706AE9"/>
    <w:rsid w:val="007101FB"/>
    <w:rsid w:val="0071574D"/>
    <w:rsid w:val="007212E5"/>
    <w:rsid w:val="00724CE4"/>
    <w:rsid w:val="00730ED3"/>
    <w:rsid w:val="00732B92"/>
    <w:rsid w:val="00737267"/>
    <w:rsid w:val="00737E1F"/>
    <w:rsid w:val="00741726"/>
    <w:rsid w:val="00742AA6"/>
    <w:rsid w:val="007466C8"/>
    <w:rsid w:val="00747BDB"/>
    <w:rsid w:val="007531F1"/>
    <w:rsid w:val="007557E0"/>
    <w:rsid w:val="00755E3C"/>
    <w:rsid w:val="00760ABE"/>
    <w:rsid w:val="0076299A"/>
    <w:rsid w:val="00764284"/>
    <w:rsid w:val="007647FF"/>
    <w:rsid w:val="007671A9"/>
    <w:rsid w:val="00771722"/>
    <w:rsid w:val="0077399E"/>
    <w:rsid w:val="00773DE5"/>
    <w:rsid w:val="00774F98"/>
    <w:rsid w:val="00776D9F"/>
    <w:rsid w:val="00780EA9"/>
    <w:rsid w:val="00790821"/>
    <w:rsid w:val="00791B69"/>
    <w:rsid w:val="00792D56"/>
    <w:rsid w:val="00794EF2"/>
    <w:rsid w:val="00795D77"/>
    <w:rsid w:val="00796748"/>
    <w:rsid w:val="00797A51"/>
    <w:rsid w:val="007A629A"/>
    <w:rsid w:val="007B0FFC"/>
    <w:rsid w:val="007B4382"/>
    <w:rsid w:val="007B4823"/>
    <w:rsid w:val="007B514F"/>
    <w:rsid w:val="007C0DB5"/>
    <w:rsid w:val="007C4C1F"/>
    <w:rsid w:val="007D0BB9"/>
    <w:rsid w:val="007D3570"/>
    <w:rsid w:val="007D44CC"/>
    <w:rsid w:val="007D524F"/>
    <w:rsid w:val="007D5DC1"/>
    <w:rsid w:val="007D6ADC"/>
    <w:rsid w:val="007D7A4E"/>
    <w:rsid w:val="007E164B"/>
    <w:rsid w:val="007E191D"/>
    <w:rsid w:val="007E2328"/>
    <w:rsid w:val="007E7CC0"/>
    <w:rsid w:val="007F1F3E"/>
    <w:rsid w:val="007F62F8"/>
    <w:rsid w:val="007F6D0E"/>
    <w:rsid w:val="00801EEA"/>
    <w:rsid w:val="00802A6E"/>
    <w:rsid w:val="00804C62"/>
    <w:rsid w:val="00807E96"/>
    <w:rsid w:val="00816E02"/>
    <w:rsid w:val="008179E9"/>
    <w:rsid w:val="008210DD"/>
    <w:rsid w:val="008255E7"/>
    <w:rsid w:val="00826097"/>
    <w:rsid w:val="00826528"/>
    <w:rsid w:val="00831AAC"/>
    <w:rsid w:val="00832C43"/>
    <w:rsid w:val="00835312"/>
    <w:rsid w:val="00842510"/>
    <w:rsid w:val="00844CB0"/>
    <w:rsid w:val="00845D95"/>
    <w:rsid w:val="0084758E"/>
    <w:rsid w:val="0084779E"/>
    <w:rsid w:val="00851376"/>
    <w:rsid w:val="008531EC"/>
    <w:rsid w:val="00856EEC"/>
    <w:rsid w:val="00857A4A"/>
    <w:rsid w:val="00861A08"/>
    <w:rsid w:val="0087550A"/>
    <w:rsid w:val="008805B2"/>
    <w:rsid w:val="00881697"/>
    <w:rsid w:val="0088279E"/>
    <w:rsid w:val="00892024"/>
    <w:rsid w:val="00893F12"/>
    <w:rsid w:val="00895E66"/>
    <w:rsid w:val="00896032"/>
    <w:rsid w:val="008968C3"/>
    <w:rsid w:val="00897E21"/>
    <w:rsid w:val="008A0CE8"/>
    <w:rsid w:val="008A17D5"/>
    <w:rsid w:val="008A23BA"/>
    <w:rsid w:val="008A301F"/>
    <w:rsid w:val="008A360A"/>
    <w:rsid w:val="008A4441"/>
    <w:rsid w:val="008A4506"/>
    <w:rsid w:val="008A78F7"/>
    <w:rsid w:val="008B0CAB"/>
    <w:rsid w:val="008B19B7"/>
    <w:rsid w:val="008B2F57"/>
    <w:rsid w:val="008B39EE"/>
    <w:rsid w:val="008B4E37"/>
    <w:rsid w:val="008B5D7E"/>
    <w:rsid w:val="008B79AD"/>
    <w:rsid w:val="008C2A65"/>
    <w:rsid w:val="008C38CA"/>
    <w:rsid w:val="008C4610"/>
    <w:rsid w:val="008C461E"/>
    <w:rsid w:val="008C5D9E"/>
    <w:rsid w:val="008C7E66"/>
    <w:rsid w:val="008D0CBD"/>
    <w:rsid w:val="008D1919"/>
    <w:rsid w:val="008D5A6D"/>
    <w:rsid w:val="008D6269"/>
    <w:rsid w:val="008E3154"/>
    <w:rsid w:val="008E352F"/>
    <w:rsid w:val="008E5953"/>
    <w:rsid w:val="008E674C"/>
    <w:rsid w:val="008F0968"/>
    <w:rsid w:val="008F3A75"/>
    <w:rsid w:val="008F62F8"/>
    <w:rsid w:val="00906269"/>
    <w:rsid w:val="009104A9"/>
    <w:rsid w:val="00910CD4"/>
    <w:rsid w:val="00911F2F"/>
    <w:rsid w:val="00912E19"/>
    <w:rsid w:val="009163C5"/>
    <w:rsid w:val="00916590"/>
    <w:rsid w:val="009220C5"/>
    <w:rsid w:val="00924125"/>
    <w:rsid w:val="00924C60"/>
    <w:rsid w:val="00926526"/>
    <w:rsid w:val="009347F5"/>
    <w:rsid w:val="00935F51"/>
    <w:rsid w:val="00936C8E"/>
    <w:rsid w:val="00940B5F"/>
    <w:rsid w:val="00940EA2"/>
    <w:rsid w:val="00940FC3"/>
    <w:rsid w:val="0094273F"/>
    <w:rsid w:val="00944FD4"/>
    <w:rsid w:val="0094504B"/>
    <w:rsid w:val="00945DA8"/>
    <w:rsid w:val="009474C9"/>
    <w:rsid w:val="00950E10"/>
    <w:rsid w:val="0095398C"/>
    <w:rsid w:val="0095629F"/>
    <w:rsid w:val="0095669C"/>
    <w:rsid w:val="00960EA4"/>
    <w:rsid w:val="00961C9A"/>
    <w:rsid w:val="00965212"/>
    <w:rsid w:val="00966096"/>
    <w:rsid w:val="00967CEC"/>
    <w:rsid w:val="009712D1"/>
    <w:rsid w:val="00973126"/>
    <w:rsid w:val="00974414"/>
    <w:rsid w:val="00974BE2"/>
    <w:rsid w:val="00975929"/>
    <w:rsid w:val="00977CBA"/>
    <w:rsid w:val="0098391A"/>
    <w:rsid w:val="009856A1"/>
    <w:rsid w:val="00987B6D"/>
    <w:rsid w:val="00991A63"/>
    <w:rsid w:val="00991BDA"/>
    <w:rsid w:val="009954CC"/>
    <w:rsid w:val="00995E7D"/>
    <w:rsid w:val="00996B9F"/>
    <w:rsid w:val="009A2E39"/>
    <w:rsid w:val="009A45FA"/>
    <w:rsid w:val="009A70BC"/>
    <w:rsid w:val="009B435E"/>
    <w:rsid w:val="009B4F5E"/>
    <w:rsid w:val="009B6D39"/>
    <w:rsid w:val="009B7DF8"/>
    <w:rsid w:val="009C29E7"/>
    <w:rsid w:val="009C362B"/>
    <w:rsid w:val="009C6EAA"/>
    <w:rsid w:val="009D216B"/>
    <w:rsid w:val="009D2226"/>
    <w:rsid w:val="009D66D4"/>
    <w:rsid w:val="009E3692"/>
    <w:rsid w:val="009E6C8B"/>
    <w:rsid w:val="009E6E2D"/>
    <w:rsid w:val="009F2F7D"/>
    <w:rsid w:val="009F31BB"/>
    <w:rsid w:val="009F3FE1"/>
    <w:rsid w:val="009F4944"/>
    <w:rsid w:val="009F65D1"/>
    <w:rsid w:val="009F68B9"/>
    <w:rsid w:val="00A00800"/>
    <w:rsid w:val="00A03E69"/>
    <w:rsid w:val="00A05819"/>
    <w:rsid w:val="00A11106"/>
    <w:rsid w:val="00A11677"/>
    <w:rsid w:val="00A12104"/>
    <w:rsid w:val="00A12878"/>
    <w:rsid w:val="00A14C47"/>
    <w:rsid w:val="00A229D7"/>
    <w:rsid w:val="00A234C0"/>
    <w:rsid w:val="00A2516B"/>
    <w:rsid w:val="00A26CEF"/>
    <w:rsid w:val="00A31019"/>
    <w:rsid w:val="00A31D70"/>
    <w:rsid w:val="00A32AF7"/>
    <w:rsid w:val="00A3380A"/>
    <w:rsid w:val="00A35760"/>
    <w:rsid w:val="00A37268"/>
    <w:rsid w:val="00A43011"/>
    <w:rsid w:val="00A43018"/>
    <w:rsid w:val="00A47339"/>
    <w:rsid w:val="00A51A4A"/>
    <w:rsid w:val="00A533CB"/>
    <w:rsid w:val="00A54F19"/>
    <w:rsid w:val="00A56385"/>
    <w:rsid w:val="00A56719"/>
    <w:rsid w:val="00A569E5"/>
    <w:rsid w:val="00A5780E"/>
    <w:rsid w:val="00A60279"/>
    <w:rsid w:val="00A61778"/>
    <w:rsid w:val="00A6208C"/>
    <w:rsid w:val="00A6309E"/>
    <w:rsid w:val="00A6476C"/>
    <w:rsid w:val="00A71271"/>
    <w:rsid w:val="00A71FD3"/>
    <w:rsid w:val="00A72605"/>
    <w:rsid w:val="00A72765"/>
    <w:rsid w:val="00A74301"/>
    <w:rsid w:val="00A85B48"/>
    <w:rsid w:val="00A91538"/>
    <w:rsid w:val="00A93E0D"/>
    <w:rsid w:val="00A96577"/>
    <w:rsid w:val="00A96B77"/>
    <w:rsid w:val="00A978C4"/>
    <w:rsid w:val="00A97FAB"/>
    <w:rsid w:val="00AA0D0E"/>
    <w:rsid w:val="00AA25B8"/>
    <w:rsid w:val="00AA3994"/>
    <w:rsid w:val="00AA3E60"/>
    <w:rsid w:val="00AA4D5B"/>
    <w:rsid w:val="00AA4E09"/>
    <w:rsid w:val="00AA6372"/>
    <w:rsid w:val="00AA6960"/>
    <w:rsid w:val="00AB0BAB"/>
    <w:rsid w:val="00AB1406"/>
    <w:rsid w:val="00AB2050"/>
    <w:rsid w:val="00AB7C99"/>
    <w:rsid w:val="00AC0D8D"/>
    <w:rsid w:val="00AC1C46"/>
    <w:rsid w:val="00AC3887"/>
    <w:rsid w:val="00AC3A75"/>
    <w:rsid w:val="00AC3AE8"/>
    <w:rsid w:val="00AC56B2"/>
    <w:rsid w:val="00AC71C3"/>
    <w:rsid w:val="00AD1C3B"/>
    <w:rsid w:val="00AD2DDB"/>
    <w:rsid w:val="00AD2FA1"/>
    <w:rsid w:val="00AD550B"/>
    <w:rsid w:val="00AD5C17"/>
    <w:rsid w:val="00AD6827"/>
    <w:rsid w:val="00AD72BF"/>
    <w:rsid w:val="00AE0735"/>
    <w:rsid w:val="00AE3CFD"/>
    <w:rsid w:val="00AE50B3"/>
    <w:rsid w:val="00AF4007"/>
    <w:rsid w:val="00AF57A5"/>
    <w:rsid w:val="00AF5B25"/>
    <w:rsid w:val="00AF66E8"/>
    <w:rsid w:val="00B037A0"/>
    <w:rsid w:val="00B039E8"/>
    <w:rsid w:val="00B04EAB"/>
    <w:rsid w:val="00B05140"/>
    <w:rsid w:val="00B053F2"/>
    <w:rsid w:val="00B05D1E"/>
    <w:rsid w:val="00B14615"/>
    <w:rsid w:val="00B1668F"/>
    <w:rsid w:val="00B16722"/>
    <w:rsid w:val="00B17049"/>
    <w:rsid w:val="00B17613"/>
    <w:rsid w:val="00B20143"/>
    <w:rsid w:val="00B23B9C"/>
    <w:rsid w:val="00B23B9F"/>
    <w:rsid w:val="00B247E4"/>
    <w:rsid w:val="00B25D38"/>
    <w:rsid w:val="00B2700E"/>
    <w:rsid w:val="00B325E5"/>
    <w:rsid w:val="00B36DB2"/>
    <w:rsid w:val="00B4110E"/>
    <w:rsid w:val="00B4516B"/>
    <w:rsid w:val="00B45D52"/>
    <w:rsid w:val="00B46A4B"/>
    <w:rsid w:val="00B46BFD"/>
    <w:rsid w:val="00B471EA"/>
    <w:rsid w:val="00B5046C"/>
    <w:rsid w:val="00B50772"/>
    <w:rsid w:val="00B52E99"/>
    <w:rsid w:val="00B53720"/>
    <w:rsid w:val="00B54D8C"/>
    <w:rsid w:val="00B5517E"/>
    <w:rsid w:val="00B57B89"/>
    <w:rsid w:val="00B6393A"/>
    <w:rsid w:val="00B65635"/>
    <w:rsid w:val="00B6590E"/>
    <w:rsid w:val="00B72263"/>
    <w:rsid w:val="00B74608"/>
    <w:rsid w:val="00B748C3"/>
    <w:rsid w:val="00B75EF9"/>
    <w:rsid w:val="00B76187"/>
    <w:rsid w:val="00B80845"/>
    <w:rsid w:val="00B8117B"/>
    <w:rsid w:val="00B822BC"/>
    <w:rsid w:val="00B82D34"/>
    <w:rsid w:val="00B838A5"/>
    <w:rsid w:val="00B83B75"/>
    <w:rsid w:val="00B85244"/>
    <w:rsid w:val="00B907EB"/>
    <w:rsid w:val="00B92586"/>
    <w:rsid w:val="00B93C02"/>
    <w:rsid w:val="00B97930"/>
    <w:rsid w:val="00BA63BA"/>
    <w:rsid w:val="00BB19AB"/>
    <w:rsid w:val="00BB6F8B"/>
    <w:rsid w:val="00BC000B"/>
    <w:rsid w:val="00BC02F2"/>
    <w:rsid w:val="00BC269E"/>
    <w:rsid w:val="00BC4E52"/>
    <w:rsid w:val="00BC6003"/>
    <w:rsid w:val="00BC7465"/>
    <w:rsid w:val="00BC754C"/>
    <w:rsid w:val="00BD06E2"/>
    <w:rsid w:val="00BD1FBF"/>
    <w:rsid w:val="00BD4356"/>
    <w:rsid w:val="00BD6CDB"/>
    <w:rsid w:val="00BD7508"/>
    <w:rsid w:val="00BD7E3E"/>
    <w:rsid w:val="00BE13F2"/>
    <w:rsid w:val="00BE6AE0"/>
    <w:rsid w:val="00BE750D"/>
    <w:rsid w:val="00BF2B35"/>
    <w:rsid w:val="00BF307B"/>
    <w:rsid w:val="00BF3768"/>
    <w:rsid w:val="00BF5D6F"/>
    <w:rsid w:val="00BF6273"/>
    <w:rsid w:val="00BF79F2"/>
    <w:rsid w:val="00C0305E"/>
    <w:rsid w:val="00C03E46"/>
    <w:rsid w:val="00C0624B"/>
    <w:rsid w:val="00C10685"/>
    <w:rsid w:val="00C11F08"/>
    <w:rsid w:val="00C20476"/>
    <w:rsid w:val="00C22C96"/>
    <w:rsid w:val="00C22F86"/>
    <w:rsid w:val="00C23C4A"/>
    <w:rsid w:val="00C27E1B"/>
    <w:rsid w:val="00C30338"/>
    <w:rsid w:val="00C30E84"/>
    <w:rsid w:val="00C34EB9"/>
    <w:rsid w:val="00C436FF"/>
    <w:rsid w:val="00C441CA"/>
    <w:rsid w:val="00C4730A"/>
    <w:rsid w:val="00C47DC8"/>
    <w:rsid w:val="00C508D5"/>
    <w:rsid w:val="00C52483"/>
    <w:rsid w:val="00C5392B"/>
    <w:rsid w:val="00C568B5"/>
    <w:rsid w:val="00C6027D"/>
    <w:rsid w:val="00C60628"/>
    <w:rsid w:val="00C61B42"/>
    <w:rsid w:val="00C639FA"/>
    <w:rsid w:val="00C645FC"/>
    <w:rsid w:val="00C67D54"/>
    <w:rsid w:val="00C70549"/>
    <w:rsid w:val="00C72F1F"/>
    <w:rsid w:val="00C73FB5"/>
    <w:rsid w:val="00C76853"/>
    <w:rsid w:val="00C773D2"/>
    <w:rsid w:val="00C77E49"/>
    <w:rsid w:val="00C83600"/>
    <w:rsid w:val="00C83793"/>
    <w:rsid w:val="00C900B5"/>
    <w:rsid w:val="00C9381D"/>
    <w:rsid w:val="00C94C14"/>
    <w:rsid w:val="00C9694E"/>
    <w:rsid w:val="00C972AA"/>
    <w:rsid w:val="00CA204B"/>
    <w:rsid w:val="00CA5C65"/>
    <w:rsid w:val="00CA610C"/>
    <w:rsid w:val="00CA7F37"/>
    <w:rsid w:val="00CB38B4"/>
    <w:rsid w:val="00CB3E7A"/>
    <w:rsid w:val="00CB580A"/>
    <w:rsid w:val="00CB59CF"/>
    <w:rsid w:val="00CB5D34"/>
    <w:rsid w:val="00CC0B39"/>
    <w:rsid w:val="00CC10AD"/>
    <w:rsid w:val="00CC2438"/>
    <w:rsid w:val="00CC2DF9"/>
    <w:rsid w:val="00CC7784"/>
    <w:rsid w:val="00CC7E9C"/>
    <w:rsid w:val="00CD0269"/>
    <w:rsid w:val="00CD11A4"/>
    <w:rsid w:val="00CD3AAA"/>
    <w:rsid w:val="00CD3E67"/>
    <w:rsid w:val="00CD4D85"/>
    <w:rsid w:val="00CD6E04"/>
    <w:rsid w:val="00CD74B1"/>
    <w:rsid w:val="00CE0119"/>
    <w:rsid w:val="00CE1E2C"/>
    <w:rsid w:val="00CF1196"/>
    <w:rsid w:val="00CF1ECE"/>
    <w:rsid w:val="00CF45D5"/>
    <w:rsid w:val="00CF4B86"/>
    <w:rsid w:val="00CF51D0"/>
    <w:rsid w:val="00CF5502"/>
    <w:rsid w:val="00CF7128"/>
    <w:rsid w:val="00D06DD9"/>
    <w:rsid w:val="00D10F73"/>
    <w:rsid w:val="00D1125D"/>
    <w:rsid w:val="00D13236"/>
    <w:rsid w:val="00D14980"/>
    <w:rsid w:val="00D16E89"/>
    <w:rsid w:val="00D21DBE"/>
    <w:rsid w:val="00D24823"/>
    <w:rsid w:val="00D254D4"/>
    <w:rsid w:val="00D26227"/>
    <w:rsid w:val="00D30322"/>
    <w:rsid w:val="00D31561"/>
    <w:rsid w:val="00D441C3"/>
    <w:rsid w:val="00D52949"/>
    <w:rsid w:val="00D52F02"/>
    <w:rsid w:val="00D562D2"/>
    <w:rsid w:val="00D63C48"/>
    <w:rsid w:val="00D669C4"/>
    <w:rsid w:val="00D66C8F"/>
    <w:rsid w:val="00D675A6"/>
    <w:rsid w:val="00D70A53"/>
    <w:rsid w:val="00D71E7E"/>
    <w:rsid w:val="00D751ED"/>
    <w:rsid w:val="00D755F9"/>
    <w:rsid w:val="00D764E2"/>
    <w:rsid w:val="00D7682E"/>
    <w:rsid w:val="00D825F6"/>
    <w:rsid w:val="00D84AB9"/>
    <w:rsid w:val="00D84C7B"/>
    <w:rsid w:val="00D85782"/>
    <w:rsid w:val="00D861C5"/>
    <w:rsid w:val="00D86460"/>
    <w:rsid w:val="00D90CF0"/>
    <w:rsid w:val="00D9364A"/>
    <w:rsid w:val="00D93737"/>
    <w:rsid w:val="00D976E3"/>
    <w:rsid w:val="00DA1330"/>
    <w:rsid w:val="00DA424C"/>
    <w:rsid w:val="00DA4CD0"/>
    <w:rsid w:val="00DA5298"/>
    <w:rsid w:val="00DA57E9"/>
    <w:rsid w:val="00DA6BDA"/>
    <w:rsid w:val="00DB30A3"/>
    <w:rsid w:val="00DB3E87"/>
    <w:rsid w:val="00DB40A4"/>
    <w:rsid w:val="00DB66AB"/>
    <w:rsid w:val="00DC2C73"/>
    <w:rsid w:val="00DC3E84"/>
    <w:rsid w:val="00DC45D5"/>
    <w:rsid w:val="00DC4A0B"/>
    <w:rsid w:val="00DC4E02"/>
    <w:rsid w:val="00DC55A5"/>
    <w:rsid w:val="00DC5C54"/>
    <w:rsid w:val="00DD2DC8"/>
    <w:rsid w:val="00DD42F6"/>
    <w:rsid w:val="00DD5F67"/>
    <w:rsid w:val="00DE069B"/>
    <w:rsid w:val="00DE0A32"/>
    <w:rsid w:val="00DE56A8"/>
    <w:rsid w:val="00DE604F"/>
    <w:rsid w:val="00DF12DE"/>
    <w:rsid w:val="00DF269F"/>
    <w:rsid w:val="00DF2F89"/>
    <w:rsid w:val="00DF33DE"/>
    <w:rsid w:val="00DF35C6"/>
    <w:rsid w:val="00DF5205"/>
    <w:rsid w:val="00E01B0E"/>
    <w:rsid w:val="00E01EFE"/>
    <w:rsid w:val="00E05772"/>
    <w:rsid w:val="00E07159"/>
    <w:rsid w:val="00E1078C"/>
    <w:rsid w:val="00E10BA8"/>
    <w:rsid w:val="00E121D2"/>
    <w:rsid w:val="00E12A04"/>
    <w:rsid w:val="00E1396D"/>
    <w:rsid w:val="00E15022"/>
    <w:rsid w:val="00E16CBC"/>
    <w:rsid w:val="00E202E1"/>
    <w:rsid w:val="00E203C3"/>
    <w:rsid w:val="00E2376A"/>
    <w:rsid w:val="00E2552A"/>
    <w:rsid w:val="00E26292"/>
    <w:rsid w:val="00E2663E"/>
    <w:rsid w:val="00E26F71"/>
    <w:rsid w:val="00E2768A"/>
    <w:rsid w:val="00E277B8"/>
    <w:rsid w:val="00E27E42"/>
    <w:rsid w:val="00E3329C"/>
    <w:rsid w:val="00E33C6D"/>
    <w:rsid w:val="00E349E3"/>
    <w:rsid w:val="00E40276"/>
    <w:rsid w:val="00E458FE"/>
    <w:rsid w:val="00E45B50"/>
    <w:rsid w:val="00E46F26"/>
    <w:rsid w:val="00E47101"/>
    <w:rsid w:val="00E51828"/>
    <w:rsid w:val="00E56BDC"/>
    <w:rsid w:val="00E56DDA"/>
    <w:rsid w:val="00E66D3A"/>
    <w:rsid w:val="00E7095A"/>
    <w:rsid w:val="00E71C32"/>
    <w:rsid w:val="00E71EAA"/>
    <w:rsid w:val="00E7244B"/>
    <w:rsid w:val="00E806EF"/>
    <w:rsid w:val="00E83466"/>
    <w:rsid w:val="00E83A16"/>
    <w:rsid w:val="00E83A32"/>
    <w:rsid w:val="00E90C2A"/>
    <w:rsid w:val="00E92046"/>
    <w:rsid w:val="00E93145"/>
    <w:rsid w:val="00E93608"/>
    <w:rsid w:val="00E94E1D"/>
    <w:rsid w:val="00E95239"/>
    <w:rsid w:val="00E95E7C"/>
    <w:rsid w:val="00E9673B"/>
    <w:rsid w:val="00EA78FA"/>
    <w:rsid w:val="00EB033B"/>
    <w:rsid w:val="00EB189B"/>
    <w:rsid w:val="00EB1BB3"/>
    <w:rsid w:val="00EB26D1"/>
    <w:rsid w:val="00EB32B4"/>
    <w:rsid w:val="00EB5348"/>
    <w:rsid w:val="00EB566C"/>
    <w:rsid w:val="00EB618A"/>
    <w:rsid w:val="00EB7519"/>
    <w:rsid w:val="00EB7F3A"/>
    <w:rsid w:val="00EC1747"/>
    <w:rsid w:val="00EC1D68"/>
    <w:rsid w:val="00EC2ABF"/>
    <w:rsid w:val="00EC6515"/>
    <w:rsid w:val="00ED2290"/>
    <w:rsid w:val="00ED308D"/>
    <w:rsid w:val="00ED4B6E"/>
    <w:rsid w:val="00ED5454"/>
    <w:rsid w:val="00ED5B40"/>
    <w:rsid w:val="00ED6AC6"/>
    <w:rsid w:val="00EE4665"/>
    <w:rsid w:val="00EF0649"/>
    <w:rsid w:val="00EF3405"/>
    <w:rsid w:val="00EF4312"/>
    <w:rsid w:val="00EF6E7D"/>
    <w:rsid w:val="00EF7AE7"/>
    <w:rsid w:val="00EF7F0C"/>
    <w:rsid w:val="00F03067"/>
    <w:rsid w:val="00F0574F"/>
    <w:rsid w:val="00F06E4A"/>
    <w:rsid w:val="00F07A87"/>
    <w:rsid w:val="00F10B89"/>
    <w:rsid w:val="00F11360"/>
    <w:rsid w:val="00F12239"/>
    <w:rsid w:val="00F12AB7"/>
    <w:rsid w:val="00F14711"/>
    <w:rsid w:val="00F15B8F"/>
    <w:rsid w:val="00F202B7"/>
    <w:rsid w:val="00F208D8"/>
    <w:rsid w:val="00F2127A"/>
    <w:rsid w:val="00F23DE7"/>
    <w:rsid w:val="00F24259"/>
    <w:rsid w:val="00F24477"/>
    <w:rsid w:val="00F3099D"/>
    <w:rsid w:val="00F30FC1"/>
    <w:rsid w:val="00F328C9"/>
    <w:rsid w:val="00F33BF0"/>
    <w:rsid w:val="00F35BE2"/>
    <w:rsid w:val="00F377A1"/>
    <w:rsid w:val="00F37F75"/>
    <w:rsid w:val="00F455D7"/>
    <w:rsid w:val="00F47207"/>
    <w:rsid w:val="00F50C42"/>
    <w:rsid w:val="00F523FE"/>
    <w:rsid w:val="00F526A8"/>
    <w:rsid w:val="00F52711"/>
    <w:rsid w:val="00F61630"/>
    <w:rsid w:val="00F63E15"/>
    <w:rsid w:val="00F65F6D"/>
    <w:rsid w:val="00F67172"/>
    <w:rsid w:val="00F71063"/>
    <w:rsid w:val="00F71549"/>
    <w:rsid w:val="00F72A50"/>
    <w:rsid w:val="00F74D8F"/>
    <w:rsid w:val="00F81C4A"/>
    <w:rsid w:val="00F831C2"/>
    <w:rsid w:val="00F95BA3"/>
    <w:rsid w:val="00F96F16"/>
    <w:rsid w:val="00F9720D"/>
    <w:rsid w:val="00F977B5"/>
    <w:rsid w:val="00FA18A1"/>
    <w:rsid w:val="00FA3802"/>
    <w:rsid w:val="00FB0F46"/>
    <w:rsid w:val="00FB1BEB"/>
    <w:rsid w:val="00FB23E2"/>
    <w:rsid w:val="00FB30D2"/>
    <w:rsid w:val="00FB559E"/>
    <w:rsid w:val="00FC3F5C"/>
    <w:rsid w:val="00FC5606"/>
    <w:rsid w:val="00FC6DFD"/>
    <w:rsid w:val="00FC7209"/>
    <w:rsid w:val="00FC77CD"/>
    <w:rsid w:val="00FC7A48"/>
    <w:rsid w:val="00FD0233"/>
    <w:rsid w:val="00FD07EC"/>
    <w:rsid w:val="00FD1AE5"/>
    <w:rsid w:val="00FD295E"/>
    <w:rsid w:val="00FD6BAE"/>
    <w:rsid w:val="00FE0FEF"/>
    <w:rsid w:val="00FE125D"/>
    <w:rsid w:val="00FE2350"/>
    <w:rsid w:val="00FE3044"/>
    <w:rsid w:val="00FE699E"/>
    <w:rsid w:val="00FF0767"/>
    <w:rsid w:val="00FF211E"/>
    <w:rsid w:val="00FF423D"/>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8"/>
        <o:r id="V:Rule2" type="connector" idref="#_x0000_s1069"/>
        <o:r id="V:Rule3" type="connector" idref="#_x0000_s1073"/>
        <o:r id="V:Rule4" type="connector" idref="#_x0000_s1075"/>
        <o:r id="V:Rule5" type="connector" idref="#_x0000_s1067"/>
        <o:r id="V:Rule6" type="connector" idref="#_x0000_s1065"/>
        <o:r id="V:Rule7" type="connector" idref="#_x0000_s1066"/>
        <o:r id="V:Rule8" type="connector" idref="#_x0000_s1072"/>
        <o:r id="V:Rule9" type="connector" idref="#_x0000_s1076"/>
        <o:r id="V:Rule10" type="connector" idref="#_x0000_s1071"/>
        <o:r id="V:Rule11" type="connector" idref="#_x0000_s1070"/>
        <o:r id="V:Rule12" type="connector" idref="#_x0000_s1074"/>
      </o:rules>
    </o:shapelayout>
  </w:shapeDefaults>
  <w:decimalSymbol w:val="."/>
  <w:listSeparator w:val=","/>
  <w14:docId w14:val="0579A32B"/>
  <w15:docId w15:val="{71318495-4993-4128-9E7C-A1786917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48"/>
  </w:style>
  <w:style w:type="paragraph" w:styleId="Heading1">
    <w:name w:val="heading 1"/>
    <w:basedOn w:val="Normal"/>
    <w:next w:val="Normal"/>
    <w:link w:val="Heading1Char"/>
    <w:uiPriority w:val="9"/>
    <w:qFormat/>
    <w:rsid w:val="00C30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03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A204B"/>
    <w:pPr>
      <w:keepNext/>
      <w:spacing w:after="0" w:line="240" w:lineRule="auto"/>
      <w:jc w:val="both"/>
      <w:outlineLvl w:val="2"/>
    </w:pPr>
    <w:rPr>
      <w:rFonts w:ascii="Arial" w:eastAsia="Times New Roman" w:hAnsi="Arial" w:cs="Arial"/>
      <w:b/>
      <w:bCs/>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303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5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2FC"/>
  </w:style>
  <w:style w:type="paragraph" w:styleId="Footer">
    <w:name w:val="footer"/>
    <w:basedOn w:val="Normal"/>
    <w:link w:val="FooterChar"/>
    <w:uiPriority w:val="99"/>
    <w:unhideWhenUsed/>
    <w:rsid w:val="0065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2FC"/>
  </w:style>
  <w:style w:type="table" w:styleId="TableGrid">
    <w:name w:val="Table Grid"/>
    <w:basedOn w:val="TableNormal"/>
    <w:uiPriority w:val="59"/>
    <w:rsid w:val="004B2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30338"/>
    <w:pPr>
      <w:spacing w:after="0" w:line="240" w:lineRule="auto"/>
    </w:pPr>
  </w:style>
  <w:style w:type="character" w:styleId="PageNumber">
    <w:name w:val="page number"/>
    <w:basedOn w:val="DefaultParagraphFont"/>
    <w:rsid w:val="00CD3E67"/>
  </w:style>
  <w:style w:type="paragraph" w:styleId="ListParagraph">
    <w:name w:val="List Paragraph"/>
    <w:basedOn w:val="Normal"/>
    <w:uiPriority w:val="34"/>
    <w:qFormat/>
    <w:rsid w:val="00B25D38"/>
    <w:pPr>
      <w:ind w:left="720"/>
      <w:contextualSpacing/>
    </w:pPr>
    <w:rPr>
      <w:rFonts w:eastAsiaTheme="minorEastAsia"/>
      <w:lang w:val="en-MY" w:eastAsia="en-MY"/>
    </w:rPr>
  </w:style>
  <w:style w:type="character" w:styleId="Strong">
    <w:name w:val="Strong"/>
    <w:basedOn w:val="DefaultParagraphFont"/>
    <w:qFormat/>
    <w:rsid w:val="00B53720"/>
    <w:rPr>
      <w:b/>
      <w:bCs/>
    </w:rPr>
  </w:style>
  <w:style w:type="paragraph" w:customStyle="1" w:styleId="Default">
    <w:name w:val="Default"/>
    <w:rsid w:val="00B53720"/>
    <w:pPr>
      <w:autoSpaceDE w:val="0"/>
      <w:autoSpaceDN w:val="0"/>
      <w:adjustRightInd w:val="0"/>
      <w:spacing w:after="0" w:line="240" w:lineRule="auto"/>
    </w:pPr>
    <w:rPr>
      <w:rFonts w:ascii="Lucida Sans Unicode" w:hAnsi="Lucida Sans Unicode" w:cs="Lucida Sans Unicode"/>
      <w:color w:val="000000"/>
      <w:sz w:val="24"/>
      <w:szCs w:val="24"/>
      <w:lang w:val="en-MY"/>
    </w:rPr>
  </w:style>
  <w:style w:type="character" w:styleId="Hyperlink">
    <w:name w:val="Hyperlink"/>
    <w:basedOn w:val="DefaultParagraphFont"/>
    <w:uiPriority w:val="99"/>
    <w:unhideWhenUsed/>
    <w:rsid w:val="00F14711"/>
    <w:rPr>
      <w:color w:val="0000FF" w:themeColor="hyperlink"/>
      <w:u w:val="single"/>
    </w:rPr>
  </w:style>
  <w:style w:type="character" w:customStyle="1" w:styleId="Heading3Char">
    <w:name w:val="Heading 3 Char"/>
    <w:basedOn w:val="DefaultParagraphFont"/>
    <w:link w:val="Heading3"/>
    <w:rsid w:val="00CA204B"/>
    <w:rPr>
      <w:rFonts w:ascii="Arial" w:eastAsia="Times New Roman" w:hAnsi="Arial" w:cs="Arial"/>
      <w:b/>
      <w:bCs/>
      <w:snapToGrid w:val="0"/>
      <w:sz w:val="26"/>
      <w:szCs w:val="20"/>
      <w:lang w:val="en-GB"/>
    </w:rPr>
  </w:style>
  <w:style w:type="paragraph" w:styleId="BodyText2">
    <w:name w:val="Body Text 2"/>
    <w:basedOn w:val="Normal"/>
    <w:link w:val="BodyText2Char"/>
    <w:rsid w:val="002815B0"/>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815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se.com.my/website/bm/media_cent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EBF2-65CA-420A-ABC5-50C9A0C6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c:creator>
  <cp:lastModifiedBy>Sophee Sulong bin Balia</cp:lastModifiedBy>
  <cp:revision>7</cp:revision>
  <cp:lastPrinted>2010-06-10T02:16:00Z</cp:lastPrinted>
  <dcterms:created xsi:type="dcterms:W3CDTF">2019-11-30T03:05:00Z</dcterms:created>
  <dcterms:modified xsi:type="dcterms:W3CDTF">2019-12-26T04:36:00Z</dcterms:modified>
</cp:coreProperties>
</file>