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D6459" w14:textId="77777777" w:rsidR="00F405D5" w:rsidRDefault="00F405D5" w:rsidP="00E20EEC">
      <w:pPr>
        <w:jc w:val="center"/>
        <w:rPr>
          <w:rFonts w:ascii="Times New Roman" w:hAnsi="Times New Roman" w:cs="Times New Roman"/>
          <w:b/>
          <w:bCs/>
          <w:color w:val="000000" w:themeColor="text1"/>
          <w:sz w:val="28"/>
          <w:szCs w:val="28"/>
        </w:rPr>
      </w:pPr>
    </w:p>
    <w:p w14:paraId="2117D0D4" w14:textId="07BBF25C" w:rsidR="00E20EEC" w:rsidRPr="000F7038" w:rsidRDefault="00E20EEC" w:rsidP="00E20EEC">
      <w:pPr>
        <w:jc w:val="center"/>
        <w:rPr>
          <w:rFonts w:ascii="Times New Roman" w:hAnsi="Times New Roman" w:cs="Times New Roman"/>
          <w:b/>
          <w:bCs/>
          <w:color w:val="000000" w:themeColor="text1"/>
          <w:sz w:val="28"/>
          <w:szCs w:val="28"/>
        </w:rPr>
      </w:pPr>
      <w:r w:rsidRPr="000F7038">
        <w:rPr>
          <w:rFonts w:ascii="Times New Roman" w:hAnsi="Times New Roman" w:cs="Times New Roman"/>
          <w:b/>
          <w:bCs/>
          <w:color w:val="000000" w:themeColor="text1"/>
          <w:sz w:val="28"/>
          <w:szCs w:val="28"/>
        </w:rPr>
        <w:t xml:space="preserve">Environmental </w:t>
      </w:r>
      <w:r w:rsidR="001961AF" w:rsidRPr="000F7038">
        <w:rPr>
          <w:rFonts w:ascii="Times New Roman" w:hAnsi="Times New Roman" w:cs="Times New Roman"/>
          <w:b/>
          <w:bCs/>
          <w:color w:val="000000" w:themeColor="text1"/>
          <w:sz w:val="28"/>
          <w:szCs w:val="28"/>
        </w:rPr>
        <w:t>D</w:t>
      </w:r>
      <w:r w:rsidRPr="000F7038">
        <w:rPr>
          <w:rFonts w:ascii="Times New Roman" w:hAnsi="Times New Roman" w:cs="Times New Roman"/>
          <w:b/>
          <w:bCs/>
          <w:color w:val="000000" w:themeColor="text1"/>
          <w:sz w:val="28"/>
          <w:szCs w:val="28"/>
        </w:rPr>
        <w:t xml:space="preserve">isclosure and </w:t>
      </w:r>
      <w:r w:rsidR="001961AF" w:rsidRPr="000F7038">
        <w:rPr>
          <w:rFonts w:ascii="Times New Roman" w:hAnsi="Times New Roman" w:cs="Times New Roman"/>
          <w:b/>
          <w:bCs/>
          <w:color w:val="000000" w:themeColor="text1"/>
          <w:sz w:val="28"/>
          <w:szCs w:val="28"/>
        </w:rPr>
        <w:t>S</w:t>
      </w:r>
      <w:r w:rsidRPr="000F7038">
        <w:rPr>
          <w:rFonts w:ascii="Times New Roman" w:hAnsi="Times New Roman" w:cs="Times New Roman"/>
          <w:b/>
          <w:bCs/>
          <w:color w:val="000000" w:themeColor="text1"/>
          <w:sz w:val="28"/>
          <w:szCs w:val="28"/>
        </w:rPr>
        <w:t xml:space="preserve">tock </w:t>
      </w:r>
      <w:r w:rsidR="001961AF" w:rsidRPr="000F7038">
        <w:rPr>
          <w:rFonts w:ascii="Times New Roman" w:hAnsi="Times New Roman" w:cs="Times New Roman"/>
          <w:b/>
          <w:bCs/>
          <w:color w:val="000000" w:themeColor="text1"/>
          <w:sz w:val="28"/>
          <w:szCs w:val="28"/>
        </w:rPr>
        <w:t>M</w:t>
      </w:r>
      <w:r w:rsidRPr="000F7038">
        <w:rPr>
          <w:rFonts w:ascii="Times New Roman" w:hAnsi="Times New Roman" w:cs="Times New Roman"/>
          <w:b/>
          <w:bCs/>
          <w:color w:val="000000" w:themeColor="text1"/>
          <w:sz w:val="28"/>
          <w:szCs w:val="28"/>
        </w:rPr>
        <w:t xml:space="preserve">arket </w:t>
      </w:r>
      <w:r w:rsidR="001961AF" w:rsidRPr="000F7038">
        <w:rPr>
          <w:rFonts w:ascii="Times New Roman" w:hAnsi="Times New Roman" w:cs="Times New Roman"/>
          <w:b/>
          <w:bCs/>
          <w:color w:val="000000" w:themeColor="text1"/>
          <w:sz w:val="28"/>
          <w:szCs w:val="28"/>
        </w:rPr>
        <w:t>L</w:t>
      </w:r>
      <w:r w:rsidRPr="000F7038">
        <w:rPr>
          <w:rFonts w:ascii="Times New Roman" w:hAnsi="Times New Roman" w:cs="Times New Roman"/>
          <w:b/>
          <w:bCs/>
          <w:color w:val="000000" w:themeColor="text1"/>
          <w:sz w:val="28"/>
          <w:szCs w:val="28"/>
        </w:rPr>
        <w:t xml:space="preserve">iquidity of </w:t>
      </w:r>
      <w:r w:rsidR="001961AF" w:rsidRPr="000F7038">
        <w:rPr>
          <w:rFonts w:ascii="Times New Roman" w:hAnsi="Times New Roman" w:cs="Times New Roman"/>
          <w:b/>
          <w:bCs/>
          <w:color w:val="000000" w:themeColor="text1"/>
          <w:sz w:val="28"/>
          <w:szCs w:val="28"/>
        </w:rPr>
        <w:t>P</w:t>
      </w:r>
      <w:r w:rsidRPr="000F7038">
        <w:rPr>
          <w:rFonts w:ascii="Times New Roman" w:hAnsi="Times New Roman" w:cs="Times New Roman"/>
          <w:b/>
          <w:bCs/>
          <w:color w:val="000000" w:themeColor="text1"/>
          <w:sz w:val="28"/>
          <w:szCs w:val="28"/>
        </w:rPr>
        <w:t xml:space="preserve">ublic </w:t>
      </w:r>
      <w:r w:rsidR="001961AF" w:rsidRPr="000F7038">
        <w:rPr>
          <w:rFonts w:ascii="Times New Roman" w:hAnsi="Times New Roman" w:cs="Times New Roman"/>
          <w:b/>
          <w:bCs/>
          <w:color w:val="000000" w:themeColor="text1"/>
          <w:sz w:val="28"/>
          <w:szCs w:val="28"/>
        </w:rPr>
        <w:t>L</w:t>
      </w:r>
      <w:r w:rsidRPr="000F7038">
        <w:rPr>
          <w:rFonts w:ascii="Times New Roman" w:hAnsi="Times New Roman" w:cs="Times New Roman"/>
          <w:b/>
          <w:bCs/>
          <w:color w:val="000000" w:themeColor="text1"/>
          <w:sz w:val="28"/>
          <w:szCs w:val="28"/>
        </w:rPr>
        <w:t xml:space="preserve">isted </w:t>
      </w:r>
      <w:r w:rsidR="001961AF" w:rsidRPr="000F7038">
        <w:rPr>
          <w:rFonts w:ascii="Times New Roman" w:hAnsi="Times New Roman" w:cs="Times New Roman"/>
          <w:b/>
          <w:bCs/>
          <w:color w:val="000000" w:themeColor="text1"/>
          <w:sz w:val="28"/>
          <w:szCs w:val="28"/>
        </w:rPr>
        <w:t>F</w:t>
      </w:r>
      <w:r w:rsidRPr="000F7038">
        <w:rPr>
          <w:rFonts w:ascii="Times New Roman" w:hAnsi="Times New Roman" w:cs="Times New Roman"/>
          <w:b/>
          <w:bCs/>
          <w:color w:val="000000" w:themeColor="text1"/>
          <w:sz w:val="28"/>
          <w:szCs w:val="28"/>
        </w:rPr>
        <w:t>irms in Malaysia</w:t>
      </w:r>
    </w:p>
    <w:p w14:paraId="7623249D" w14:textId="1C9C7738" w:rsidR="00890559" w:rsidRPr="000F7038" w:rsidRDefault="00890559" w:rsidP="006E01D2">
      <w:pPr>
        <w:spacing w:after="0" w:line="240" w:lineRule="auto"/>
        <w:jc w:val="center"/>
        <w:rPr>
          <w:rFonts w:ascii="Times New Roman" w:eastAsia="Calibri" w:hAnsi="Times New Roman" w:cs="Times New Roman"/>
          <w:color w:val="000000" w:themeColor="text1"/>
          <w:sz w:val="24"/>
          <w:szCs w:val="24"/>
          <w:lang w:val="en-GB" w:eastAsia="en-US"/>
        </w:rPr>
      </w:pPr>
      <w:proofErr w:type="spellStart"/>
      <w:r w:rsidRPr="000F7038">
        <w:rPr>
          <w:rFonts w:ascii="Times New Roman" w:eastAsia="Calibri" w:hAnsi="Times New Roman" w:cs="Times New Roman"/>
          <w:color w:val="000000" w:themeColor="text1"/>
          <w:sz w:val="24"/>
          <w:szCs w:val="24"/>
          <w:lang w:val="en-GB" w:eastAsia="en-US"/>
        </w:rPr>
        <w:t>Mohd</w:t>
      </w:r>
      <w:proofErr w:type="spellEnd"/>
      <w:r w:rsidRPr="000F7038">
        <w:rPr>
          <w:rFonts w:ascii="Times New Roman" w:eastAsia="Calibri" w:hAnsi="Times New Roman" w:cs="Times New Roman"/>
          <w:color w:val="000000" w:themeColor="text1"/>
          <w:sz w:val="24"/>
          <w:szCs w:val="24"/>
          <w:lang w:val="en-GB" w:eastAsia="en-US"/>
        </w:rPr>
        <w:t xml:space="preserve"> </w:t>
      </w:r>
      <w:proofErr w:type="spellStart"/>
      <w:r w:rsidRPr="000F7038">
        <w:rPr>
          <w:rFonts w:ascii="Times New Roman" w:eastAsia="Calibri" w:hAnsi="Times New Roman" w:cs="Times New Roman"/>
          <w:color w:val="000000" w:themeColor="text1"/>
          <w:sz w:val="24"/>
          <w:szCs w:val="24"/>
          <w:lang w:val="en-GB" w:eastAsia="en-US"/>
        </w:rPr>
        <w:t>Waliuddin</w:t>
      </w:r>
      <w:proofErr w:type="spellEnd"/>
      <w:r w:rsidRPr="000F7038">
        <w:rPr>
          <w:rFonts w:ascii="Times New Roman" w:eastAsia="Calibri" w:hAnsi="Times New Roman" w:cs="Times New Roman"/>
          <w:color w:val="000000" w:themeColor="text1"/>
          <w:sz w:val="24"/>
          <w:szCs w:val="24"/>
          <w:lang w:val="en-GB" w:eastAsia="en-US"/>
        </w:rPr>
        <w:t xml:space="preserve"> </w:t>
      </w:r>
      <w:proofErr w:type="spellStart"/>
      <w:r w:rsidRPr="000F7038">
        <w:rPr>
          <w:rFonts w:ascii="Times New Roman" w:eastAsia="Calibri" w:hAnsi="Times New Roman" w:cs="Times New Roman"/>
          <w:color w:val="000000" w:themeColor="text1"/>
          <w:sz w:val="24"/>
          <w:szCs w:val="24"/>
          <w:lang w:val="en-GB" w:eastAsia="en-US"/>
        </w:rPr>
        <w:t>Mohd</w:t>
      </w:r>
      <w:proofErr w:type="spellEnd"/>
      <w:r w:rsidRPr="000F7038">
        <w:rPr>
          <w:rFonts w:ascii="Times New Roman" w:eastAsia="Calibri" w:hAnsi="Times New Roman" w:cs="Times New Roman"/>
          <w:color w:val="000000" w:themeColor="text1"/>
          <w:sz w:val="24"/>
          <w:szCs w:val="24"/>
          <w:lang w:val="en-GB" w:eastAsia="en-US"/>
        </w:rPr>
        <w:t xml:space="preserve"> Razali*</w:t>
      </w:r>
      <w:r w:rsidRPr="000F7038">
        <w:rPr>
          <w:rFonts w:ascii="Times New Roman" w:eastAsia="Calibri" w:hAnsi="Times New Roman" w:cs="Times New Roman"/>
          <w:color w:val="000000" w:themeColor="text1"/>
          <w:sz w:val="24"/>
          <w:szCs w:val="24"/>
          <w:vertAlign w:val="superscript"/>
          <w:lang w:val="en-GB" w:eastAsia="en-US"/>
        </w:rPr>
        <w:t>1&amp;2</w:t>
      </w:r>
      <w:r w:rsidRPr="000F7038">
        <w:rPr>
          <w:rFonts w:ascii="Times New Roman" w:eastAsia="Calibri" w:hAnsi="Times New Roman" w:cs="Times New Roman"/>
          <w:color w:val="000000" w:themeColor="text1"/>
          <w:sz w:val="24"/>
          <w:szCs w:val="24"/>
          <w:lang w:val="en-GB" w:eastAsia="en-US"/>
        </w:rPr>
        <w:t>, Leong Yuan Ting</w:t>
      </w:r>
      <w:r w:rsidRPr="000F7038">
        <w:rPr>
          <w:rFonts w:ascii="Times New Roman" w:eastAsia="Calibri" w:hAnsi="Times New Roman" w:cs="Times New Roman"/>
          <w:color w:val="000000" w:themeColor="text1"/>
          <w:sz w:val="24"/>
          <w:szCs w:val="24"/>
          <w:vertAlign w:val="superscript"/>
          <w:lang w:val="en-GB" w:eastAsia="en-US"/>
        </w:rPr>
        <w:t>1</w:t>
      </w:r>
      <w:r w:rsidRPr="000F7038">
        <w:rPr>
          <w:rFonts w:ascii="Times New Roman" w:eastAsia="Calibri" w:hAnsi="Times New Roman" w:cs="Times New Roman"/>
          <w:color w:val="000000" w:themeColor="text1"/>
          <w:sz w:val="24"/>
          <w:szCs w:val="24"/>
          <w:lang w:val="en-GB" w:eastAsia="en-US"/>
        </w:rPr>
        <w:t>,</w:t>
      </w:r>
      <w:r w:rsidRPr="000F7038">
        <w:rPr>
          <w:rFonts w:ascii="Times New Roman" w:hAnsi="Times New Roman" w:cs="Times New Roman"/>
          <w:color w:val="000000" w:themeColor="text1"/>
          <w:sz w:val="24"/>
          <w:szCs w:val="24"/>
        </w:rPr>
        <w:t xml:space="preserve"> </w:t>
      </w:r>
      <w:r w:rsidRPr="000F7038">
        <w:rPr>
          <w:rFonts w:ascii="Times New Roman" w:eastAsia="Calibri" w:hAnsi="Times New Roman" w:cs="Times New Roman"/>
          <w:color w:val="000000" w:themeColor="text1"/>
          <w:sz w:val="24"/>
          <w:szCs w:val="24"/>
          <w:lang w:val="en-GB" w:eastAsia="en-US"/>
        </w:rPr>
        <w:t>Sharifah Sabrina Syed Ali</w:t>
      </w:r>
      <w:r w:rsidRPr="000F7038">
        <w:rPr>
          <w:rFonts w:ascii="Times New Roman" w:eastAsia="Calibri" w:hAnsi="Times New Roman" w:cs="Times New Roman"/>
          <w:color w:val="000000" w:themeColor="text1"/>
          <w:sz w:val="24"/>
          <w:szCs w:val="24"/>
          <w:vertAlign w:val="superscript"/>
          <w:lang w:val="en-GB" w:eastAsia="en-US"/>
        </w:rPr>
        <w:t>1</w:t>
      </w:r>
      <w:r w:rsidRPr="000F7038">
        <w:rPr>
          <w:rFonts w:ascii="Times New Roman" w:eastAsia="Calibri" w:hAnsi="Times New Roman" w:cs="Times New Roman"/>
          <w:color w:val="000000" w:themeColor="text1"/>
          <w:sz w:val="24"/>
          <w:szCs w:val="24"/>
          <w:lang w:val="en-GB" w:eastAsia="en-US"/>
        </w:rPr>
        <w:t xml:space="preserve">, and </w:t>
      </w:r>
      <w:proofErr w:type="spellStart"/>
      <w:r w:rsidR="001961AF" w:rsidRPr="000F7038">
        <w:rPr>
          <w:rFonts w:ascii="Times New Roman" w:eastAsia="Calibri" w:hAnsi="Times New Roman" w:cs="Times New Roman"/>
          <w:color w:val="000000" w:themeColor="text1"/>
          <w:sz w:val="24"/>
          <w:szCs w:val="24"/>
          <w:lang w:val="en-GB" w:eastAsia="en-US"/>
        </w:rPr>
        <w:t>Noraisyah</w:t>
      </w:r>
      <w:proofErr w:type="spellEnd"/>
      <w:r w:rsidR="001961AF" w:rsidRPr="000F7038">
        <w:rPr>
          <w:rFonts w:ascii="Times New Roman" w:eastAsia="Calibri" w:hAnsi="Times New Roman" w:cs="Times New Roman"/>
          <w:color w:val="000000" w:themeColor="text1"/>
          <w:sz w:val="24"/>
          <w:szCs w:val="24"/>
          <w:lang w:val="en-GB" w:eastAsia="en-US"/>
        </w:rPr>
        <w:t xml:space="preserve"> Abd Rahman</w:t>
      </w:r>
      <w:r w:rsidR="001961AF" w:rsidRPr="000F7038">
        <w:rPr>
          <w:rFonts w:ascii="Times New Roman" w:eastAsia="Calibri" w:hAnsi="Times New Roman" w:cs="Times New Roman"/>
          <w:color w:val="000000" w:themeColor="text1"/>
          <w:sz w:val="24"/>
          <w:szCs w:val="24"/>
          <w:vertAlign w:val="superscript"/>
          <w:lang w:val="en-GB" w:eastAsia="en-US"/>
        </w:rPr>
        <w:t>3</w:t>
      </w:r>
      <w:r w:rsidR="001961AF" w:rsidRPr="000F7038">
        <w:rPr>
          <w:rFonts w:ascii="Times New Roman" w:eastAsia="Calibri" w:hAnsi="Times New Roman" w:cs="Times New Roman"/>
          <w:color w:val="000000" w:themeColor="text1"/>
          <w:sz w:val="24"/>
          <w:szCs w:val="24"/>
          <w:lang w:val="en-GB" w:eastAsia="en-US"/>
        </w:rPr>
        <w:t xml:space="preserve">, and </w:t>
      </w:r>
      <w:proofErr w:type="spellStart"/>
      <w:r w:rsidR="001961AF" w:rsidRPr="000F7038">
        <w:rPr>
          <w:rFonts w:ascii="Times New Roman" w:eastAsia="Calibri" w:hAnsi="Times New Roman" w:cs="Times New Roman"/>
          <w:color w:val="000000" w:themeColor="text1"/>
          <w:sz w:val="24"/>
          <w:szCs w:val="24"/>
          <w:lang w:val="en-GB" w:eastAsia="en-US"/>
        </w:rPr>
        <w:t>Janifer</w:t>
      </w:r>
      <w:proofErr w:type="spellEnd"/>
      <w:r w:rsidR="001961AF" w:rsidRPr="000F7038">
        <w:rPr>
          <w:rFonts w:ascii="Times New Roman" w:eastAsia="Calibri" w:hAnsi="Times New Roman" w:cs="Times New Roman"/>
          <w:color w:val="000000" w:themeColor="text1"/>
          <w:sz w:val="24"/>
          <w:szCs w:val="24"/>
          <w:lang w:val="en-GB" w:eastAsia="en-US"/>
        </w:rPr>
        <w:t xml:space="preserve"> Lunyai</w:t>
      </w:r>
      <w:r w:rsidR="001961AF" w:rsidRPr="000F7038">
        <w:rPr>
          <w:rFonts w:ascii="Times New Roman" w:eastAsia="Calibri" w:hAnsi="Times New Roman" w:cs="Times New Roman"/>
          <w:color w:val="000000" w:themeColor="text1"/>
          <w:sz w:val="24"/>
          <w:szCs w:val="24"/>
          <w:vertAlign w:val="superscript"/>
          <w:lang w:val="en-GB" w:eastAsia="en-US"/>
        </w:rPr>
        <w:t>1</w:t>
      </w:r>
    </w:p>
    <w:p w14:paraId="3D408249" w14:textId="23B7129B" w:rsidR="00890559" w:rsidRPr="000F7038" w:rsidRDefault="00890559" w:rsidP="006E01D2">
      <w:pPr>
        <w:widowControl w:val="0"/>
        <w:autoSpaceDE w:val="0"/>
        <w:autoSpaceDN w:val="0"/>
        <w:spacing w:after="0" w:line="240" w:lineRule="auto"/>
        <w:contextualSpacing/>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vertAlign w:val="superscript"/>
        </w:rPr>
        <w:t>1</w:t>
      </w:r>
      <w:r w:rsidRPr="000F7038">
        <w:rPr>
          <w:rFonts w:ascii="Times New Roman" w:hAnsi="Times New Roman" w:cs="Times New Roman"/>
          <w:color w:val="000000" w:themeColor="text1"/>
          <w:sz w:val="24"/>
          <w:szCs w:val="24"/>
        </w:rPr>
        <w:t xml:space="preserve">Faculty Economics &amp; Business, </w:t>
      </w:r>
      <w:proofErr w:type="spellStart"/>
      <w:r w:rsidRPr="000F7038">
        <w:rPr>
          <w:rFonts w:ascii="Times New Roman" w:hAnsi="Times New Roman" w:cs="Times New Roman"/>
          <w:color w:val="000000" w:themeColor="text1"/>
          <w:sz w:val="24"/>
          <w:szCs w:val="24"/>
        </w:rPr>
        <w:t>Universiti</w:t>
      </w:r>
      <w:proofErr w:type="spellEnd"/>
      <w:r w:rsidRPr="000F7038">
        <w:rPr>
          <w:rFonts w:ascii="Times New Roman" w:hAnsi="Times New Roman" w:cs="Times New Roman"/>
          <w:color w:val="000000" w:themeColor="text1"/>
          <w:sz w:val="24"/>
          <w:szCs w:val="24"/>
        </w:rPr>
        <w:t xml:space="preserve"> Malaysia Sarawak (UNIMAS), Malaysia</w:t>
      </w:r>
    </w:p>
    <w:p w14:paraId="6ED3100B" w14:textId="01A27890" w:rsidR="00890559" w:rsidRPr="000F7038" w:rsidRDefault="00890559" w:rsidP="006E01D2">
      <w:pPr>
        <w:widowControl w:val="0"/>
        <w:autoSpaceDE w:val="0"/>
        <w:autoSpaceDN w:val="0"/>
        <w:spacing w:after="0" w:line="240" w:lineRule="auto"/>
        <w:contextualSpacing/>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vertAlign w:val="superscript"/>
        </w:rPr>
        <w:t>2</w:t>
      </w:r>
      <w:r w:rsidRPr="000F7038">
        <w:rPr>
          <w:rFonts w:ascii="Times New Roman" w:hAnsi="Times New Roman" w:cs="Times New Roman"/>
          <w:color w:val="000000" w:themeColor="text1"/>
          <w:sz w:val="24"/>
          <w:szCs w:val="24"/>
        </w:rPr>
        <w:t xml:space="preserve">Faculty of Economics &amp; Management, </w:t>
      </w:r>
      <w:proofErr w:type="spellStart"/>
      <w:r w:rsidRPr="000F7038">
        <w:rPr>
          <w:rFonts w:ascii="Times New Roman" w:hAnsi="Times New Roman" w:cs="Times New Roman"/>
          <w:color w:val="000000" w:themeColor="text1"/>
          <w:sz w:val="24"/>
          <w:szCs w:val="24"/>
        </w:rPr>
        <w:t>Universiti</w:t>
      </w:r>
      <w:proofErr w:type="spellEnd"/>
      <w:r w:rsidRPr="000F7038">
        <w:rPr>
          <w:rFonts w:ascii="Times New Roman" w:hAnsi="Times New Roman" w:cs="Times New Roman"/>
          <w:color w:val="000000" w:themeColor="text1"/>
          <w:sz w:val="24"/>
          <w:szCs w:val="24"/>
        </w:rPr>
        <w:t xml:space="preserve"> </w:t>
      </w:r>
      <w:proofErr w:type="spellStart"/>
      <w:r w:rsidRPr="000F7038">
        <w:rPr>
          <w:rFonts w:ascii="Times New Roman" w:hAnsi="Times New Roman" w:cs="Times New Roman"/>
          <w:color w:val="000000" w:themeColor="text1"/>
          <w:sz w:val="24"/>
          <w:szCs w:val="24"/>
        </w:rPr>
        <w:t>Kebangsaan</w:t>
      </w:r>
      <w:proofErr w:type="spellEnd"/>
      <w:r w:rsidRPr="000F7038">
        <w:rPr>
          <w:rFonts w:ascii="Times New Roman" w:hAnsi="Times New Roman" w:cs="Times New Roman"/>
          <w:color w:val="000000" w:themeColor="text1"/>
          <w:sz w:val="24"/>
          <w:szCs w:val="24"/>
        </w:rPr>
        <w:t xml:space="preserve"> Malaysia (UKM), Malaysia</w:t>
      </w:r>
    </w:p>
    <w:p w14:paraId="50F7DC91" w14:textId="27B3EB41" w:rsidR="00890559" w:rsidRPr="000F7038" w:rsidRDefault="00890559" w:rsidP="006E01D2">
      <w:pPr>
        <w:widowControl w:val="0"/>
        <w:autoSpaceDE w:val="0"/>
        <w:autoSpaceDN w:val="0"/>
        <w:spacing w:after="0" w:line="240" w:lineRule="auto"/>
        <w:contextualSpacing/>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vertAlign w:val="superscript"/>
        </w:rPr>
        <w:t>3</w:t>
      </w:r>
      <w:r w:rsidRPr="000F7038">
        <w:rPr>
          <w:rFonts w:ascii="Times New Roman" w:hAnsi="Times New Roman" w:cs="Times New Roman"/>
          <w:color w:val="000000" w:themeColor="text1"/>
          <w:sz w:val="24"/>
          <w:szCs w:val="24"/>
        </w:rPr>
        <w:t xml:space="preserve">Faculty of Management &amp; Economics, </w:t>
      </w:r>
      <w:proofErr w:type="spellStart"/>
      <w:r w:rsidRPr="000F7038">
        <w:rPr>
          <w:rFonts w:ascii="Times New Roman" w:hAnsi="Times New Roman" w:cs="Times New Roman"/>
          <w:color w:val="000000" w:themeColor="text1"/>
          <w:sz w:val="24"/>
          <w:szCs w:val="24"/>
        </w:rPr>
        <w:t>Universiti</w:t>
      </w:r>
      <w:proofErr w:type="spellEnd"/>
      <w:r w:rsidRPr="000F7038">
        <w:rPr>
          <w:rFonts w:ascii="Times New Roman" w:hAnsi="Times New Roman" w:cs="Times New Roman"/>
          <w:color w:val="000000" w:themeColor="text1"/>
          <w:sz w:val="24"/>
          <w:szCs w:val="24"/>
        </w:rPr>
        <w:t xml:space="preserve"> Pendidikan Sultan Idris (UPSI), Malaysia</w:t>
      </w:r>
    </w:p>
    <w:p w14:paraId="53E63F45" w14:textId="0945E922" w:rsidR="00F96453" w:rsidRPr="000F7038" w:rsidRDefault="00890559" w:rsidP="006E01D2">
      <w:pPr>
        <w:spacing w:after="0" w:line="240" w:lineRule="auto"/>
        <w:jc w:val="center"/>
        <w:rPr>
          <w:rFonts w:ascii="Times New Roman" w:hAnsi="Times New Roman" w:cs="Times New Roman"/>
          <w:b/>
          <w:bCs/>
          <w:color w:val="000000" w:themeColor="text1"/>
          <w:sz w:val="24"/>
          <w:szCs w:val="24"/>
        </w:rPr>
      </w:pPr>
      <w:r w:rsidRPr="000F7038">
        <w:rPr>
          <w:rFonts w:ascii="Times New Roman" w:eastAsia="Calibri" w:hAnsi="Times New Roman" w:cs="Times New Roman"/>
          <w:color w:val="000000" w:themeColor="text1"/>
          <w:sz w:val="24"/>
          <w:szCs w:val="24"/>
          <w:lang w:val="en-GB" w:eastAsia="en-US"/>
        </w:rPr>
        <w:t xml:space="preserve">Email: </w:t>
      </w:r>
      <w:hyperlink r:id="rId7" w:history="1">
        <w:r w:rsidR="00E806CC" w:rsidRPr="00037B03">
          <w:rPr>
            <w:rStyle w:val="Hyperlink"/>
            <w:rFonts w:ascii="Times New Roman" w:eastAsia="Calibri" w:hAnsi="Times New Roman" w:cs="Times New Roman"/>
            <w:color w:val="000000" w:themeColor="text1"/>
            <w:sz w:val="24"/>
            <w:szCs w:val="24"/>
            <w:u w:val="none"/>
            <w:lang w:val="en-GB" w:eastAsia="en-US"/>
          </w:rPr>
          <w:t>walirazali@yahoo.com</w:t>
        </w:r>
      </w:hyperlink>
      <w:r w:rsidR="00E806CC" w:rsidRPr="000F7038">
        <w:rPr>
          <w:rFonts w:ascii="Times New Roman" w:eastAsia="Calibri" w:hAnsi="Times New Roman" w:cs="Times New Roman"/>
          <w:color w:val="000000" w:themeColor="text1"/>
          <w:sz w:val="24"/>
          <w:szCs w:val="24"/>
          <w:lang w:val="en-GB" w:eastAsia="en-US"/>
        </w:rPr>
        <w:t xml:space="preserve"> </w:t>
      </w:r>
    </w:p>
    <w:p w14:paraId="42535092" w14:textId="4151930F" w:rsidR="00B41275" w:rsidRPr="000F7038" w:rsidRDefault="00D80F8A" w:rsidP="006E01D2">
      <w:pPr>
        <w:spacing w:after="0" w:line="240" w:lineRule="auto"/>
        <w:rPr>
          <w:rFonts w:ascii="Times New Roman" w:hAnsi="Times New Roman" w:cs="Times New Roman"/>
          <w:b/>
          <w:bCs/>
          <w:color w:val="000000" w:themeColor="text1"/>
          <w:sz w:val="24"/>
          <w:szCs w:val="24"/>
        </w:rPr>
      </w:pPr>
      <w:r w:rsidRPr="000F7038">
        <w:rPr>
          <w:rFonts w:ascii="Times New Roman" w:hAnsi="Times New Roman" w:cs="Times New Roman"/>
          <w:b/>
          <w:bCs/>
          <w:color w:val="000000" w:themeColor="text1"/>
          <w:sz w:val="24"/>
          <w:szCs w:val="24"/>
        </w:rPr>
        <w:t>Abstract</w:t>
      </w:r>
    </w:p>
    <w:p w14:paraId="2F91D29B" w14:textId="05FF6FD8" w:rsidR="00D80F8A" w:rsidRPr="000F7038" w:rsidRDefault="00D80F8A" w:rsidP="006E01D2">
      <w:pPr>
        <w:spacing w:after="0" w:line="240" w:lineRule="auto"/>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The frequency of environmental disclosure that implemented by public listed firms worldwide had been increased. This is because disclosure of environmental information can enhance the stock market liquidity. The main purpose of t</w:t>
      </w:r>
      <w:r w:rsidR="008748BF" w:rsidRPr="000F7038">
        <w:rPr>
          <w:rFonts w:ascii="Times New Roman" w:hAnsi="Times New Roman" w:cs="Times New Roman"/>
          <w:color w:val="000000" w:themeColor="text1"/>
          <w:sz w:val="24"/>
          <w:szCs w:val="24"/>
        </w:rPr>
        <w:t xml:space="preserve">his </w:t>
      </w:r>
      <w:r w:rsidRPr="000F7038">
        <w:rPr>
          <w:rFonts w:ascii="Times New Roman" w:hAnsi="Times New Roman" w:cs="Times New Roman"/>
          <w:color w:val="000000" w:themeColor="text1"/>
          <w:sz w:val="24"/>
          <w:szCs w:val="24"/>
        </w:rPr>
        <w:t xml:space="preserve">research was to investigate the relationship between environmental disclosure and the stock market liquidity of public listed firms in Bursa Malaysia in </w:t>
      </w:r>
      <w:r w:rsidR="008748BF" w:rsidRPr="000F7038">
        <w:rPr>
          <w:rFonts w:ascii="Times New Roman" w:hAnsi="Times New Roman" w:cs="Times New Roman"/>
          <w:color w:val="000000" w:themeColor="text1"/>
          <w:sz w:val="24"/>
          <w:szCs w:val="24"/>
        </w:rPr>
        <w:t xml:space="preserve">of </w:t>
      </w:r>
      <w:r w:rsidRPr="000F7038">
        <w:rPr>
          <w:rFonts w:ascii="Times New Roman" w:hAnsi="Times New Roman" w:cs="Times New Roman"/>
          <w:color w:val="000000" w:themeColor="text1"/>
          <w:sz w:val="24"/>
          <w:szCs w:val="24"/>
        </w:rPr>
        <w:t xml:space="preserve">bid-ask </w:t>
      </w:r>
      <w:r w:rsidR="00E20EEC" w:rsidRPr="000F7038">
        <w:rPr>
          <w:rFonts w:ascii="Times New Roman" w:hAnsi="Times New Roman" w:cs="Times New Roman"/>
          <w:color w:val="000000" w:themeColor="text1"/>
          <w:sz w:val="24"/>
          <w:szCs w:val="24"/>
        </w:rPr>
        <w:t>spread.</w:t>
      </w:r>
      <w:r w:rsidRPr="000F7038">
        <w:rPr>
          <w:rFonts w:ascii="Times New Roman" w:hAnsi="Times New Roman" w:cs="Times New Roman"/>
          <w:color w:val="000000" w:themeColor="text1"/>
          <w:sz w:val="24"/>
          <w:szCs w:val="24"/>
        </w:rPr>
        <w:t xml:space="preserve"> Disclosure of environmental information was measured by using content analysis of word counts in annual reports. 4</w:t>
      </w:r>
      <w:r w:rsidR="000B62AA">
        <w:rPr>
          <w:rFonts w:ascii="Times New Roman" w:hAnsi="Times New Roman" w:cs="Times New Roman"/>
          <w:color w:val="000000" w:themeColor="text1"/>
          <w:sz w:val="24"/>
          <w:szCs w:val="24"/>
        </w:rPr>
        <w:t>56</w:t>
      </w:r>
      <w:r w:rsidRPr="000F7038">
        <w:rPr>
          <w:rFonts w:ascii="Times New Roman" w:hAnsi="Times New Roman" w:cs="Times New Roman"/>
          <w:color w:val="000000" w:themeColor="text1"/>
          <w:sz w:val="24"/>
          <w:szCs w:val="24"/>
        </w:rPr>
        <w:t xml:space="preserve"> companies </w:t>
      </w:r>
      <w:r w:rsidR="008748BF" w:rsidRPr="000F7038">
        <w:rPr>
          <w:rFonts w:ascii="Times New Roman" w:hAnsi="Times New Roman" w:cs="Times New Roman"/>
          <w:color w:val="000000" w:themeColor="text1"/>
          <w:sz w:val="24"/>
          <w:szCs w:val="24"/>
        </w:rPr>
        <w:t xml:space="preserve">were selected </w:t>
      </w:r>
      <w:r w:rsidRPr="000F7038">
        <w:rPr>
          <w:rFonts w:ascii="Times New Roman" w:hAnsi="Times New Roman" w:cs="Times New Roman"/>
          <w:color w:val="000000" w:themeColor="text1"/>
          <w:sz w:val="24"/>
          <w:szCs w:val="24"/>
        </w:rPr>
        <w:t>as the final samples</w:t>
      </w:r>
      <w:r w:rsidR="00162C5F" w:rsidRPr="000F7038">
        <w:rPr>
          <w:rFonts w:ascii="Times New Roman" w:hAnsi="Times New Roman" w:cs="Times New Roman"/>
          <w:color w:val="000000" w:themeColor="text1"/>
          <w:sz w:val="24"/>
          <w:szCs w:val="24"/>
        </w:rPr>
        <w:t xml:space="preserve"> in</w:t>
      </w:r>
      <w:r w:rsidRPr="000F7038">
        <w:rPr>
          <w:rFonts w:ascii="Times New Roman" w:hAnsi="Times New Roman" w:cs="Times New Roman"/>
          <w:color w:val="000000" w:themeColor="text1"/>
          <w:sz w:val="24"/>
          <w:szCs w:val="24"/>
        </w:rPr>
        <w:t xml:space="preserve"> year 2016 had been investigated. The financial data were collected from Data Stream by Thomson Reuters while non-financial were gather from the annual reports. After accounting for control variables such as firm leverage, firm size and market to book ratio, the results showed that there has relationship between environment disclosure and stock market liquidity. Environmental disclosure had positive significant relationship with bid-ask </w:t>
      </w:r>
      <w:r w:rsidR="00F96453" w:rsidRPr="000F7038">
        <w:rPr>
          <w:rFonts w:ascii="Times New Roman" w:hAnsi="Times New Roman" w:cs="Times New Roman"/>
          <w:color w:val="000000" w:themeColor="text1"/>
          <w:sz w:val="24"/>
          <w:szCs w:val="24"/>
        </w:rPr>
        <w:t>spread.</w:t>
      </w:r>
      <w:r w:rsidRPr="000F7038">
        <w:rPr>
          <w:rFonts w:ascii="Times New Roman" w:hAnsi="Times New Roman" w:cs="Times New Roman"/>
          <w:color w:val="000000" w:themeColor="text1"/>
          <w:sz w:val="24"/>
          <w:szCs w:val="24"/>
        </w:rPr>
        <w:t xml:space="preserve"> This suggested that high disclosure level of environmental disclosure helped the public listed firms to increase the stock market liquidity and enhance investor</w:t>
      </w:r>
      <w:r w:rsidR="002813BC" w:rsidRPr="000F7038">
        <w:rPr>
          <w:rFonts w:ascii="Times New Roman" w:hAnsi="Times New Roman" w:cs="Times New Roman"/>
          <w:color w:val="000000" w:themeColor="text1"/>
          <w:sz w:val="24"/>
          <w:szCs w:val="24"/>
        </w:rPr>
        <w:t>s</w:t>
      </w:r>
      <w:r w:rsidRPr="000F7038">
        <w:rPr>
          <w:rFonts w:ascii="Times New Roman" w:hAnsi="Times New Roman" w:cs="Times New Roman"/>
          <w:color w:val="000000" w:themeColor="text1"/>
          <w:sz w:val="24"/>
          <w:szCs w:val="24"/>
        </w:rPr>
        <w:t xml:space="preserve"> in making investing decision</w:t>
      </w:r>
      <w:r w:rsidR="002813BC" w:rsidRPr="000F7038">
        <w:rPr>
          <w:rFonts w:ascii="Times New Roman" w:hAnsi="Times New Roman" w:cs="Times New Roman"/>
          <w:color w:val="000000" w:themeColor="text1"/>
          <w:sz w:val="24"/>
          <w:szCs w:val="24"/>
        </w:rPr>
        <w:t xml:space="preserve"> due to</w:t>
      </w:r>
      <w:r w:rsidR="00777017" w:rsidRPr="000F7038">
        <w:rPr>
          <w:rFonts w:ascii="Times New Roman" w:hAnsi="Times New Roman" w:cs="Times New Roman"/>
          <w:color w:val="000000" w:themeColor="text1"/>
          <w:sz w:val="24"/>
          <w:szCs w:val="24"/>
        </w:rPr>
        <w:t xml:space="preserve"> increase </w:t>
      </w:r>
      <w:r w:rsidR="002813BC" w:rsidRPr="000F7038">
        <w:rPr>
          <w:rFonts w:ascii="Times New Roman" w:hAnsi="Times New Roman" w:cs="Times New Roman"/>
          <w:color w:val="000000" w:themeColor="text1"/>
          <w:sz w:val="24"/>
          <w:szCs w:val="24"/>
        </w:rPr>
        <w:t xml:space="preserve">in </w:t>
      </w:r>
      <w:r w:rsidR="00777017" w:rsidRPr="000F7038">
        <w:rPr>
          <w:rFonts w:ascii="Times New Roman" w:hAnsi="Times New Roman" w:cs="Times New Roman"/>
          <w:color w:val="000000" w:themeColor="text1"/>
          <w:sz w:val="24"/>
          <w:szCs w:val="24"/>
        </w:rPr>
        <w:t>firm</w:t>
      </w:r>
      <w:r w:rsidR="002813BC" w:rsidRPr="000F7038">
        <w:rPr>
          <w:rFonts w:ascii="Times New Roman" w:hAnsi="Times New Roman" w:cs="Times New Roman"/>
          <w:color w:val="000000" w:themeColor="text1"/>
          <w:sz w:val="24"/>
          <w:szCs w:val="24"/>
        </w:rPr>
        <w:t>’s</w:t>
      </w:r>
      <w:r w:rsidR="00777017" w:rsidRPr="000F7038">
        <w:rPr>
          <w:rFonts w:ascii="Times New Roman" w:hAnsi="Times New Roman" w:cs="Times New Roman"/>
          <w:color w:val="000000" w:themeColor="text1"/>
          <w:sz w:val="24"/>
          <w:szCs w:val="24"/>
        </w:rPr>
        <w:t xml:space="preserve"> transparency</w:t>
      </w:r>
      <w:r w:rsidRPr="000F7038">
        <w:rPr>
          <w:rFonts w:ascii="Times New Roman" w:hAnsi="Times New Roman" w:cs="Times New Roman"/>
          <w:color w:val="000000" w:themeColor="text1"/>
          <w:sz w:val="24"/>
          <w:szCs w:val="24"/>
        </w:rPr>
        <w:t xml:space="preserve">. For </w:t>
      </w:r>
      <w:r w:rsidR="002813BC" w:rsidRPr="000F7038">
        <w:rPr>
          <w:rFonts w:ascii="Times New Roman" w:hAnsi="Times New Roman" w:cs="Times New Roman"/>
          <w:color w:val="000000" w:themeColor="text1"/>
          <w:sz w:val="24"/>
          <w:szCs w:val="24"/>
        </w:rPr>
        <w:t xml:space="preserve">the </w:t>
      </w:r>
      <w:r w:rsidRPr="000F7038">
        <w:rPr>
          <w:rFonts w:ascii="Times New Roman" w:hAnsi="Times New Roman" w:cs="Times New Roman"/>
          <w:color w:val="000000" w:themeColor="text1"/>
          <w:sz w:val="24"/>
          <w:szCs w:val="24"/>
        </w:rPr>
        <w:t>future research, this paper recommend</w:t>
      </w:r>
      <w:r w:rsidRPr="000F7038">
        <w:rPr>
          <w:rFonts w:ascii="Times New Roman" w:hAnsi="Times New Roman" w:cs="Times New Roman"/>
          <w:strike/>
          <w:color w:val="000000" w:themeColor="text1"/>
          <w:sz w:val="24"/>
          <w:szCs w:val="24"/>
        </w:rPr>
        <w:t>ed</w:t>
      </w:r>
      <w:r w:rsidRPr="000F7038">
        <w:rPr>
          <w:rFonts w:ascii="Times New Roman" w:hAnsi="Times New Roman" w:cs="Times New Roman"/>
          <w:color w:val="000000" w:themeColor="text1"/>
          <w:sz w:val="24"/>
          <w:szCs w:val="24"/>
        </w:rPr>
        <w:t xml:space="preserve"> to extend the study by using </w:t>
      </w:r>
      <w:r w:rsidR="00E20EEC" w:rsidRPr="000F7038">
        <w:rPr>
          <w:rFonts w:ascii="Times New Roman" w:hAnsi="Times New Roman" w:cs="Times New Roman"/>
          <w:color w:val="000000" w:themeColor="text1"/>
          <w:sz w:val="24"/>
          <w:szCs w:val="24"/>
        </w:rPr>
        <w:t xml:space="preserve">other variables such as </w:t>
      </w:r>
      <w:r w:rsidRPr="000F7038">
        <w:rPr>
          <w:rFonts w:ascii="Times New Roman" w:hAnsi="Times New Roman" w:cs="Times New Roman"/>
          <w:color w:val="000000" w:themeColor="text1"/>
          <w:sz w:val="24"/>
          <w:szCs w:val="24"/>
        </w:rPr>
        <w:t>trading volume</w:t>
      </w:r>
      <w:r w:rsidR="00777017" w:rsidRPr="000F7038">
        <w:rPr>
          <w:rFonts w:ascii="Times New Roman" w:hAnsi="Times New Roman" w:cs="Times New Roman"/>
          <w:color w:val="000000" w:themeColor="text1"/>
          <w:sz w:val="24"/>
          <w:szCs w:val="24"/>
        </w:rPr>
        <w:t xml:space="preserve"> and stock volatility</w:t>
      </w:r>
      <w:r w:rsidRPr="000F7038">
        <w:rPr>
          <w:rFonts w:ascii="Times New Roman" w:hAnsi="Times New Roman" w:cs="Times New Roman"/>
          <w:color w:val="000000" w:themeColor="text1"/>
          <w:sz w:val="24"/>
          <w:szCs w:val="24"/>
        </w:rPr>
        <w:t xml:space="preserve"> as other measurements of stock market liquidity</w:t>
      </w:r>
      <w:r w:rsidR="002813BC" w:rsidRPr="000F7038">
        <w:rPr>
          <w:rFonts w:ascii="Times New Roman" w:hAnsi="Times New Roman" w:cs="Times New Roman"/>
          <w:color w:val="000000" w:themeColor="text1"/>
          <w:sz w:val="24"/>
          <w:szCs w:val="24"/>
        </w:rPr>
        <w:t xml:space="preserve"> and apply longitudinal study</w:t>
      </w:r>
      <w:r w:rsidR="00E20EEC" w:rsidRPr="000F7038">
        <w:rPr>
          <w:rFonts w:ascii="Times New Roman" w:hAnsi="Times New Roman" w:cs="Times New Roman"/>
          <w:color w:val="000000" w:themeColor="text1"/>
          <w:sz w:val="24"/>
          <w:szCs w:val="24"/>
        </w:rPr>
        <w:t>.</w:t>
      </w:r>
    </w:p>
    <w:p w14:paraId="18C35084" w14:textId="77777777" w:rsidR="006E01D2" w:rsidRPr="000F7038" w:rsidRDefault="006E01D2" w:rsidP="006E01D2">
      <w:pPr>
        <w:spacing w:after="0" w:line="240" w:lineRule="auto"/>
        <w:jc w:val="both"/>
        <w:rPr>
          <w:rFonts w:ascii="Times New Roman" w:hAnsi="Times New Roman" w:cs="Times New Roman"/>
          <w:color w:val="000000" w:themeColor="text1"/>
          <w:sz w:val="24"/>
          <w:szCs w:val="24"/>
        </w:rPr>
      </w:pPr>
    </w:p>
    <w:p w14:paraId="1409AD2B" w14:textId="390BF4D9" w:rsidR="00D80F8A" w:rsidRPr="000F7038" w:rsidRDefault="00D80F8A" w:rsidP="006E01D2">
      <w:pPr>
        <w:spacing w:after="0" w:line="240" w:lineRule="auto"/>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Keywords: </w:t>
      </w:r>
      <w:r w:rsidR="00037B03">
        <w:rPr>
          <w:rFonts w:ascii="Times New Roman" w:hAnsi="Times New Roman" w:cs="Times New Roman"/>
          <w:color w:val="000000" w:themeColor="text1"/>
          <w:sz w:val="24"/>
          <w:szCs w:val="24"/>
        </w:rPr>
        <w:t>E</w:t>
      </w:r>
      <w:r w:rsidRPr="000F7038">
        <w:rPr>
          <w:rFonts w:ascii="Times New Roman" w:hAnsi="Times New Roman" w:cs="Times New Roman"/>
          <w:color w:val="000000" w:themeColor="text1"/>
          <w:sz w:val="24"/>
          <w:szCs w:val="24"/>
        </w:rPr>
        <w:t>nvironment</w:t>
      </w:r>
      <w:r w:rsidR="002813BC" w:rsidRPr="000F7038">
        <w:rPr>
          <w:rFonts w:ascii="Times New Roman" w:hAnsi="Times New Roman" w:cs="Times New Roman"/>
          <w:color w:val="000000" w:themeColor="text1"/>
          <w:sz w:val="24"/>
          <w:szCs w:val="24"/>
        </w:rPr>
        <w:t>al</w:t>
      </w:r>
      <w:r w:rsidR="00037B03">
        <w:rPr>
          <w:rFonts w:ascii="Times New Roman" w:hAnsi="Times New Roman" w:cs="Times New Roman"/>
          <w:color w:val="000000" w:themeColor="text1"/>
          <w:sz w:val="24"/>
          <w:szCs w:val="24"/>
        </w:rPr>
        <w:t>,</w:t>
      </w:r>
      <w:r w:rsidRPr="000F7038">
        <w:rPr>
          <w:rFonts w:ascii="Times New Roman" w:hAnsi="Times New Roman" w:cs="Times New Roman"/>
          <w:color w:val="000000" w:themeColor="text1"/>
          <w:sz w:val="24"/>
          <w:szCs w:val="24"/>
        </w:rPr>
        <w:t xml:space="preserve"> disclosure, liquidity, </w:t>
      </w:r>
      <w:r w:rsidR="00E20EEC" w:rsidRPr="000F7038">
        <w:rPr>
          <w:rFonts w:ascii="Times New Roman" w:hAnsi="Times New Roman" w:cs="Times New Roman"/>
          <w:color w:val="000000" w:themeColor="text1"/>
          <w:sz w:val="24"/>
          <w:szCs w:val="24"/>
        </w:rPr>
        <w:t xml:space="preserve">bid </w:t>
      </w:r>
      <w:r w:rsidR="00F96453" w:rsidRPr="000F7038">
        <w:rPr>
          <w:rFonts w:ascii="Times New Roman" w:hAnsi="Times New Roman" w:cs="Times New Roman"/>
          <w:color w:val="000000" w:themeColor="text1"/>
          <w:sz w:val="24"/>
          <w:szCs w:val="24"/>
        </w:rPr>
        <w:t>ask, spread</w:t>
      </w:r>
      <w:r w:rsidR="00E20EEC" w:rsidRPr="000F7038">
        <w:rPr>
          <w:rFonts w:ascii="Times New Roman" w:hAnsi="Times New Roman" w:cs="Times New Roman"/>
          <w:color w:val="000000" w:themeColor="text1"/>
          <w:sz w:val="24"/>
          <w:szCs w:val="24"/>
        </w:rPr>
        <w:t>, Malaysia</w:t>
      </w:r>
    </w:p>
    <w:p w14:paraId="1E9829FA" w14:textId="77777777" w:rsidR="006E01D2" w:rsidRPr="000F7038" w:rsidRDefault="006E01D2" w:rsidP="006E01D2">
      <w:pPr>
        <w:spacing w:after="0" w:line="240" w:lineRule="auto"/>
        <w:jc w:val="both"/>
        <w:rPr>
          <w:rFonts w:ascii="Times New Roman" w:hAnsi="Times New Roman" w:cs="Times New Roman"/>
          <w:color w:val="000000" w:themeColor="text1"/>
          <w:sz w:val="24"/>
          <w:szCs w:val="24"/>
        </w:rPr>
      </w:pPr>
    </w:p>
    <w:p w14:paraId="077B1886" w14:textId="0F703E83" w:rsidR="00D80F8A" w:rsidRPr="000F7038" w:rsidRDefault="00D80F8A" w:rsidP="006E01D2">
      <w:pPr>
        <w:pStyle w:val="ListParagraph"/>
        <w:numPr>
          <w:ilvl w:val="0"/>
          <w:numId w:val="1"/>
        </w:numPr>
        <w:spacing w:after="0" w:line="240" w:lineRule="auto"/>
        <w:ind w:left="180" w:hanging="180"/>
        <w:jc w:val="both"/>
        <w:rPr>
          <w:rFonts w:ascii="Times New Roman" w:hAnsi="Times New Roman" w:cs="Times New Roman"/>
          <w:b/>
          <w:bCs/>
          <w:color w:val="000000" w:themeColor="text1"/>
          <w:sz w:val="24"/>
          <w:szCs w:val="24"/>
        </w:rPr>
      </w:pPr>
      <w:r w:rsidRPr="000F7038">
        <w:rPr>
          <w:rFonts w:ascii="Times New Roman" w:hAnsi="Times New Roman" w:cs="Times New Roman"/>
          <w:b/>
          <w:bCs/>
          <w:color w:val="000000" w:themeColor="text1"/>
          <w:sz w:val="24"/>
          <w:szCs w:val="24"/>
        </w:rPr>
        <w:t>Introduction</w:t>
      </w:r>
    </w:p>
    <w:p w14:paraId="6130795F" w14:textId="6977C717" w:rsidR="00305DB8" w:rsidRPr="000F7038" w:rsidRDefault="00305DB8" w:rsidP="006E01D2">
      <w:pPr>
        <w:pStyle w:val="ListParagraph"/>
        <w:spacing w:after="0" w:line="240" w:lineRule="auto"/>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Nowaday</w:t>
      </w:r>
      <w:r w:rsidR="002813BC" w:rsidRPr="000F7038">
        <w:rPr>
          <w:rFonts w:ascii="Times New Roman" w:hAnsi="Times New Roman" w:cs="Times New Roman"/>
          <w:color w:val="000000" w:themeColor="text1"/>
          <w:sz w:val="24"/>
          <w:szCs w:val="24"/>
        </w:rPr>
        <w:t xml:space="preserve">s, environmental disclosure </w:t>
      </w:r>
      <w:r w:rsidR="008748BF" w:rsidRPr="000F7038">
        <w:rPr>
          <w:rFonts w:ascii="Times New Roman" w:hAnsi="Times New Roman" w:cs="Times New Roman"/>
          <w:color w:val="000000" w:themeColor="text1"/>
          <w:sz w:val="24"/>
          <w:szCs w:val="24"/>
        </w:rPr>
        <w:t>has</w:t>
      </w:r>
      <w:r w:rsidR="002813BC" w:rsidRPr="000F7038">
        <w:rPr>
          <w:rFonts w:ascii="Times New Roman" w:hAnsi="Times New Roman" w:cs="Times New Roman"/>
          <w:color w:val="000000" w:themeColor="text1"/>
          <w:sz w:val="24"/>
          <w:szCs w:val="24"/>
        </w:rPr>
        <w:t xml:space="preserve"> been </w:t>
      </w:r>
      <w:r w:rsidRPr="000F7038">
        <w:rPr>
          <w:rFonts w:ascii="Times New Roman" w:hAnsi="Times New Roman" w:cs="Times New Roman"/>
          <w:color w:val="000000" w:themeColor="text1"/>
          <w:sz w:val="24"/>
          <w:szCs w:val="24"/>
        </w:rPr>
        <w:t>emphasized by the public listed companies in foreign country as well as Malaysia</w:t>
      </w:r>
      <w:r w:rsidR="00697A64" w:rsidRPr="000F7038">
        <w:rPr>
          <w:rFonts w:ascii="Times New Roman" w:hAnsi="Times New Roman" w:cs="Times New Roman"/>
          <w:color w:val="000000" w:themeColor="text1"/>
          <w:sz w:val="24"/>
          <w:szCs w:val="24"/>
        </w:rPr>
        <w:t>. Despite the fact, disclosure of environmental information has been extensive trend in small, medium and large firm in worldwide but not all have addressed this matter in their annual report that found by Sahay</w:t>
      </w:r>
      <w:r w:rsidR="006742AF" w:rsidRPr="000F7038">
        <w:rPr>
          <w:rFonts w:ascii="Times New Roman" w:hAnsi="Times New Roman" w:cs="Times New Roman"/>
          <w:color w:val="000000" w:themeColor="text1"/>
          <w:sz w:val="24"/>
          <w:szCs w:val="24"/>
        </w:rPr>
        <w:t xml:space="preserve"> </w:t>
      </w:r>
      <w:r w:rsidR="00697A64" w:rsidRPr="000F7038">
        <w:rPr>
          <w:rFonts w:ascii="Times New Roman" w:hAnsi="Times New Roman" w:cs="Times New Roman"/>
          <w:color w:val="000000" w:themeColor="text1"/>
          <w:sz w:val="24"/>
          <w:szCs w:val="24"/>
        </w:rPr>
        <w:t>(2004) and Ch</w:t>
      </w:r>
      <w:r w:rsidR="002813BC" w:rsidRPr="000F7038">
        <w:rPr>
          <w:rFonts w:ascii="Times New Roman" w:hAnsi="Times New Roman" w:cs="Times New Roman"/>
          <w:color w:val="000000" w:themeColor="text1"/>
          <w:sz w:val="24"/>
          <w:szCs w:val="24"/>
        </w:rPr>
        <w:t>an and Welford (2005). There is</w:t>
      </w:r>
      <w:r w:rsidR="001610BD" w:rsidRPr="000F7038">
        <w:rPr>
          <w:rFonts w:ascii="Times New Roman" w:hAnsi="Times New Roman" w:cs="Times New Roman"/>
          <w:color w:val="000000" w:themeColor="text1"/>
          <w:sz w:val="24"/>
          <w:szCs w:val="24"/>
        </w:rPr>
        <w:t xml:space="preserve"> a study</w:t>
      </w:r>
      <w:r w:rsidR="00697A64" w:rsidRPr="000F7038">
        <w:rPr>
          <w:rFonts w:ascii="Times New Roman" w:hAnsi="Times New Roman" w:cs="Times New Roman"/>
          <w:color w:val="000000" w:themeColor="text1"/>
          <w:sz w:val="24"/>
          <w:szCs w:val="24"/>
        </w:rPr>
        <w:t xml:space="preserve"> </w:t>
      </w:r>
      <w:r w:rsidR="001610BD" w:rsidRPr="000F7038">
        <w:rPr>
          <w:rFonts w:ascii="Times New Roman" w:hAnsi="Times New Roman" w:cs="Times New Roman"/>
          <w:color w:val="000000" w:themeColor="text1"/>
          <w:sz w:val="24"/>
          <w:szCs w:val="24"/>
        </w:rPr>
        <w:t>from</w:t>
      </w:r>
      <w:r w:rsidR="00697A64" w:rsidRPr="000F7038">
        <w:rPr>
          <w:rFonts w:ascii="Times New Roman" w:hAnsi="Times New Roman" w:cs="Times New Roman"/>
          <w:color w:val="000000" w:themeColor="text1"/>
          <w:sz w:val="24"/>
          <w:szCs w:val="24"/>
        </w:rPr>
        <w:t xml:space="preserve"> the Institute for Environmental</w:t>
      </w:r>
      <w:r w:rsidR="006742AF" w:rsidRPr="000F7038">
        <w:rPr>
          <w:rFonts w:ascii="Times New Roman" w:hAnsi="Times New Roman" w:cs="Times New Roman"/>
          <w:color w:val="000000" w:themeColor="text1"/>
          <w:sz w:val="24"/>
          <w:szCs w:val="24"/>
        </w:rPr>
        <w:t xml:space="preserve"> </w:t>
      </w:r>
      <w:r w:rsidR="00697A64" w:rsidRPr="000F7038">
        <w:rPr>
          <w:rFonts w:ascii="Times New Roman" w:hAnsi="Times New Roman" w:cs="Times New Roman"/>
          <w:color w:val="000000" w:themeColor="text1"/>
          <w:sz w:val="24"/>
          <w:szCs w:val="24"/>
        </w:rPr>
        <w:t xml:space="preserve">Management which manage by accounting firm from KPMG Malaysia </w:t>
      </w:r>
      <w:r w:rsidRPr="000F7038">
        <w:rPr>
          <w:rFonts w:ascii="Times New Roman" w:hAnsi="Times New Roman" w:cs="Times New Roman"/>
          <w:color w:val="000000" w:themeColor="text1"/>
          <w:sz w:val="24"/>
          <w:szCs w:val="24"/>
        </w:rPr>
        <w:t>(</w:t>
      </w:r>
      <w:r w:rsidR="00697A64" w:rsidRPr="000F7038">
        <w:rPr>
          <w:rFonts w:ascii="Times New Roman" w:hAnsi="Times New Roman" w:cs="Times New Roman"/>
          <w:color w:val="000000" w:themeColor="text1"/>
          <w:sz w:val="24"/>
          <w:szCs w:val="24"/>
        </w:rPr>
        <w:t>Kolk</w:t>
      </w:r>
      <w:r w:rsidRPr="000F7038">
        <w:rPr>
          <w:rFonts w:ascii="Times New Roman" w:hAnsi="Times New Roman" w:cs="Times New Roman"/>
          <w:color w:val="000000" w:themeColor="text1"/>
          <w:sz w:val="24"/>
          <w:szCs w:val="24"/>
        </w:rPr>
        <w:t xml:space="preserve">, </w:t>
      </w:r>
      <w:r w:rsidR="00697A64" w:rsidRPr="000F7038">
        <w:rPr>
          <w:rFonts w:ascii="Times New Roman" w:hAnsi="Times New Roman" w:cs="Times New Roman"/>
          <w:color w:val="000000" w:themeColor="text1"/>
          <w:sz w:val="24"/>
          <w:szCs w:val="24"/>
        </w:rPr>
        <w:t>2000)</w:t>
      </w:r>
      <w:r w:rsidR="001610BD" w:rsidRPr="000F7038">
        <w:rPr>
          <w:rFonts w:ascii="Times New Roman" w:hAnsi="Times New Roman" w:cs="Times New Roman"/>
          <w:color w:val="000000" w:themeColor="text1"/>
          <w:sz w:val="24"/>
          <w:szCs w:val="24"/>
        </w:rPr>
        <w:t xml:space="preserve"> which shows results</w:t>
      </w:r>
      <w:r w:rsidR="00697A64" w:rsidRPr="000F7038">
        <w:rPr>
          <w:rFonts w:ascii="Times New Roman" w:hAnsi="Times New Roman" w:cs="Times New Roman"/>
          <w:color w:val="000000" w:themeColor="text1"/>
          <w:sz w:val="24"/>
          <w:szCs w:val="24"/>
        </w:rPr>
        <w:t xml:space="preserve"> that 35 </w:t>
      </w:r>
      <w:r w:rsidR="00E20EEC" w:rsidRPr="000F7038">
        <w:rPr>
          <w:rFonts w:ascii="Times New Roman" w:hAnsi="Times New Roman" w:cs="Times New Roman"/>
          <w:color w:val="000000" w:themeColor="text1"/>
          <w:sz w:val="24"/>
          <w:szCs w:val="24"/>
        </w:rPr>
        <w:t>%</w:t>
      </w:r>
      <w:r w:rsidR="00697A64" w:rsidRPr="000F7038">
        <w:rPr>
          <w:rFonts w:ascii="Times New Roman" w:hAnsi="Times New Roman" w:cs="Times New Roman"/>
          <w:color w:val="000000" w:themeColor="text1"/>
          <w:sz w:val="24"/>
          <w:szCs w:val="24"/>
        </w:rPr>
        <w:t xml:space="preserve"> of the world’s 250 largest corporations had</w:t>
      </w:r>
      <w:r w:rsidR="006742AF" w:rsidRPr="000F7038">
        <w:rPr>
          <w:rFonts w:ascii="Times New Roman" w:hAnsi="Times New Roman" w:cs="Times New Roman"/>
          <w:color w:val="000000" w:themeColor="text1"/>
          <w:sz w:val="24"/>
          <w:szCs w:val="24"/>
        </w:rPr>
        <w:t xml:space="preserve"> </w:t>
      </w:r>
      <w:r w:rsidR="00697A64" w:rsidRPr="000F7038">
        <w:rPr>
          <w:rFonts w:ascii="Times New Roman" w:hAnsi="Times New Roman" w:cs="Times New Roman"/>
          <w:color w:val="000000" w:themeColor="text1"/>
          <w:sz w:val="24"/>
          <w:szCs w:val="24"/>
        </w:rPr>
        <w:t xml:space="preserve">issuing environmental </w:t>
      </w:r>
      <w:r w:rsidR="001610BD" w:rsidRPr="000F7038">
        <w:rPr>
          <w:rFonts w:ascii="Times New Roman" w:hAnsi="Times New Roman" w:cs="Times New Roman"/>
          <w:color w:val="000000" w:themeColor="text1"/>
          <w:sz w:val="24"/>
          <w:szCs w:val="24"/>
        </w:rPr>
        <w:t xml:space="preserve">reporting </w:t>
      </w:r>
      <w:r w:rsidR="00697A64" w:rsidRPr="000F7038">
        <w:rPr>
          <w:rFonts w:ascii="Times New Roman" w:hAnsi="Times New Roman" w:cs="Times New Roman"/>
          <w:color w:val="000000" w:themeColor="text1"/>
          <w:sz w:val="24"/>
          <w:szCs w:val="24"/>
        </w:rPr>
        <w:t>in the</w:t>
      </w:r>
      <w:r w:rsidR="001610BD" w:rsidRPr="000F7038">
        <w:rPr>
          <w:rFonts w:ascii="Times New Roman" w:hAnsi="Times New Roman" w:cs="Times New Roman"/>
          <w:color w:val="000000" w:themeColor="text1"/>
          <w:sz w:val="24"/>
          <w:szCs w:val="24"/>
        </w:rPr>
        <w:t>ir annual report.  Malaysia is one of the countries</w:t>
      </w:r>
      <w:r w:rsidR="00697A64" w:rsidRPr="000F7038">
        <w:rPr>
          <w:rFonts w:ascii="Times New Roman" w:hAnsi="Times New Roman" w:cs="Times New Roman"/>
          <w:color w:val="000000" w:themeColor="text1"/>
          <w:sz w:val="24"/>
          <w:szCs w:val="24"/>
        </w:rPr>
        <w:t xml:space="preserve"> that have experienced </w:t>
      </w:r>
      <w:r w:rsidR="001610BD" w:rsidRPr="000F7038">
        <w:rPr>
          <w:rFonts w:ascii="Times New Roman" w:hAnsi="Times New Roman" w:cs="Times New Roman"/>
          <w:color w:val="000000" w:themeColor="text1"/>
          <w:sz w:val="24"/>
          <w:szCs w:val="24"/>
        </w:rPr>
        <w:t xml:space="preserve">issues in environment throughout the </w:t>
      </w:r>
      <w:r w:rsidR="00697A64" w:rsidRPr="000F7038">
        <w:rPr>
          <w:rFonts w:ascii="Times New Roman" w:hAnsi="Times New Roman" w:cs="Times New Roman"/>
          <w:color w:val="000000" w:themeColor="text1"/>
          <w:sz w:val="24"/>
          <w:szCs w:val="24"/>
        </w:rPr>
        <w:t>development of technological and growth of economic. However, Malaysia</w:t>
      </w:r>
      <w:r w:rsidR="00E20EEC" w:rsidRPr="000F7038">
        <w:rPr>
          <w:rFonts w:ascii="Times New Roman" w:hAnsi="Times New Roman" w:cs="Times New Roman"/>
          <w:color w:val="000000" w:themeColor="text1"/>
          <w:sz w:val="24"/>
          <w:szCs w:val="24"/>
        </w:rPr>
        <w:t>n listed firm</w:t>
      </w:r>
      <w:r w:rsidR="00697A64" w:rsidRPr="000F7038">
        <w:rPr>
          <w:rFonts w:ascii="Times New Roman" w:hAnsi="Times New Roman" w:cs="Times New Roman"/>
          <w:color w:val="000000" w:themeColor="text1"/>
          <w:sz w:val="24"/>
          <w:szCs w:val="24"/>
        </w:rPr>
        <w:t xml:space="preserve"> did not have much environmental reporting practices compare to other countries </w:t>
      </w:r>
      <w:r w:rsidRPr="000F7038">
        <w:rPr>
          <w:rFonts w:ascii="Times New Roman" w:hAnsi="Times New Roman" w:cs="Times New Roman"/>
          <w:color w:val="000000" w:themeColor="text1"/>
          <w:sz w:val="24"/>
          <w:szCs w:val="24"/>
        </w:rPr>
        <w:t>as Bursa Malaysia did not regulate that the information of environmental must contain in annual report.</w:t>
      </w:r>
    </w:p>
    <w:p w14:paraId="1B3170A4" w14:textId="37A1F7C5" w:rsidR="00305DB8" w:rsidRPr="000F7038" w:rsidRDefault="00697A64" w:rsidP="006E01D2">
      <w:pPr>
        <w:pStyle w:val="ListParagraph"/>
        <w:spacing w:after="0" w:line="240" w:lineRule="auto"/>
        <w:ind w:left="0" w:firstLine="72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Environmental reporting practice in annual report is important because it can attract investor to make transaction. This is because rich informational will reduce information asymmetry and adverse selection problems which increase the willingness of investor to trade in the stock market (</w:t>
      </w:r>
      <w:proofErr w:type="spellStart"/>
      <w:r w:rsidRPr="000F7038">
        <w:rPr>
          <w:rFonts w:ascii="Times New Roman" w:hAnsi="Times New Roman" w:cs="Times New Roman"/>
          <w:color w:val="000000" w:themeColor="text1"/>
          <w:sz w:val="24"/>
          <w:szCs w:val="24"/>
        </w:rPr>
        <w:t>Leuz</w:t>
      </w:r>
      <w:proofErr w:type="spellEnd"/>
      <w:r w:rsidRPr="000F7038">
        <w:rPr>
          <w:rFonts w:ascii="Times New Roman" w:hAnsi="Times New Roman" w:cs="Times New Roman"/>
          <w:color w:val="000000" w:themeColor="text1"/>
          <w:sz w:val="24"/>
          <w:szCs w:val="24"/>
        </w:rPr>
        <w:t xml:space="preserve"> and Wysocki, 2008).  </w:t>
      </w:r>
      <w:r w:rsidR="00305DB8" w:rsidRPr="000F7038">
        <w:rPr>
          <w:rFonts w:ascii="Times New Roman" w:hAnsi="Times New Roman" w:cs="Times New Roman"/>
          <w:color w:val="000000" w:themeColor="text1"/>
          <w:sz w:val="24"/>
          <w:szCs w:val="24"/>
        </w:rPr>
        <w:t xml:space="preserve">Moreover, the increase of the stock market liquidity was due to the rich information environmental that disclosure in the annual report but </w:t>
      </w:r>
      <w:r w:rsidR="00305DB8" w:rsidRPr="000F7038">
        <w:rPr>
          <w:rFonts w:ascii="Times New Roman" w:hAnsi="Times New Roman" w:cs="Times New Roman"/>
          <w:color w:val="000000" w:themeColor="text1"/>
          <w:sz w:val="24"/>
          <w:szCs w:val="24"/>
        </w:rPr>
        <w:lastRenderedPageBreak/>
        <w:t>will reduce in cost of capital (</w:t>
      </w:r>
      <w:proofErr w:type="spellStart"/>
      <w:r w:rsidR="00E20EEC" w:rsidRPr="000F7038">
        <w:rPr>
          <w:rFonts w:ascii="Times New Roman" w:hAnsi="Times New Roman" w:cs="Times New Roman"/>
          <w:color w:val="000000" w:themeColor="text1"/>
          <w:sz w:val="24"/>
          <w:szCs w:val="24"/>
        </w:rPr>
        <w:t>eg</w:t>
      </w:r>
      <w:proofErr w:type="spellEnd"/>
      <w:r w:rsidR="000F7038">
        <w:rPr>
          <w:rFonts w:ascii="Times New Roman" w:hAnsi="Times New Roman" w:cs="Times New Roman"/>
          <w:color w:val="000000" w:themeColor="text1"/>
          <w:sz w:val="24"/>
          <w:szCs w:val="24"/>
        </w:rPr>
        <w:t>:</w:t>
      </w:r>
      <w:r w:rsidR="00E20EEC" w:rsidRPr="000F7038">
        <w:rPr>
          <w:rFonts w:ascii="Times New Roman" w:hAnsi="Times New Roman" w:cs="Times New Roman"/>
          <w:color w:val="000000" w:themeColor="text1"/>
          <w:sz w:val="24"/>
          <w:szCs w:val="24"/>
        </w:rPr>
        <w:t xml:space="preserve"> </w:t>
      </w:r>
      <w:proofErr w:type="spellStart"/>
      <w:r w:rsidR="00305DB8" w:rsidRPr="000F7038">
        <w:rPr>
          <w:rFonts w:ascii="Times New Roman" w:hAnsi="Times New Roman" w:cs="Times New Roman"/>
          <w:color w:val="000000" w:themeColor="text1"/>
          <w:sz w:val="24"/>
          <w:szCs w:val="24"/>
        </w:rPr>
        <w:t>Botosan</w:t>
      </w:r>
      <w:proofErr w:type="spellEnd"/>
      <w:r w:rsidR="00305DB8" w:rsidRPr="000F7038">
        <w:rPr>
          <w:rFonts w:ascii="Times New Roman" w:hAnsi="Times New Roman" w:cs="Times New Roman"/>
          <w:color w:val="000000" w:themeColor="text1"/>
          <w:sz w:val="24"/>
          <w:szCs w:val="24"/>
        </w:rPr>
        <w:t xml:space="preserve"> </w:t>
      </w:r>
      <w:r w:rsidR="00600CA1" w:rsidRPr="000F7038">
        <w:rPr>
          <w:rFonts w:ascii="Times New Roman" w:hAnsi="Times New Roman" w:cs="Times New Roman"/>
          <w:color w:val="000000" w:themeColor="text1"/>
          <w:sz w:val="24"/>
          <w:szCs w:val="24"/>
        </w:rPr>
        <w:t>&amp;</w:t>
      </w:r>
      <w:r w:rsidR="00305DB8" w:rsidRPr="000F7038">
        <w:rPr>
          <w:rFonts w:ascii="Times New Roman" w:hAnsi="Times New Roman" w:cs="Times New Roman"/>
          <w:color w:val="000000" w:themeColor="text1"/>
          <w:sz w:val="24"/>
          <w:szCs w:val="24"/>
        </w:rPr>
        <w:t xml:space="preserve"> </w:t>
      </w:r>
      <w:proofErr w:type="spellStart"/>
      <w:r w:rsidR="00305DB8" w:rsidRPr="000F7038">
        <w:rPr>
          <w:rFonts w:ascii="Times New Roman" w:hAnsi="Times New Roman" w:cs="Times New Roman"/>
          <w:color w:val="000000" w:themeColor="text1"/>
          <w:sz w:val="24"/>
          <w:szCs w:val="24"/>
        </w:rPr>
        <w:t>Plumlee</w:t>
      </w:r>
      <w:proofErr w:type="spellEnd"/>
      <w:r w:rsidR="00305DB8" w:rsidRPr="000F7038">
        <w:rPr>
          <w:rFonts w:ascii="Times New Roman" w:hAnsi="Times New Roman" w:cs="Times New Roman"/>
          <w:color w:val="000000" w:themeColor="text1"/>
          <w:sz w:val="24"/>
          <w:szCs w:val="24"/>
        </w:rPr>
        <w:t>, 2002</w:t>
      </w:r>
      <w:r w:rsidR="00600CA1" w:rsidRPr="000F7038">
        <w:rPr>
          <w:rFonts w:ascii="Times New Roman" w:hAnsi="Times New Roman" w:cs="Times New Roman"/>
          <w:color w:val="000000" w:themeColor="text1"/>
          <w:sz w:val="24"/>
          <w:szCs w:val="24"/>
        </w:rPr>
        <w:t>,</w:t>
      </w:r>
      <w:r w:rsidR="00305DB8" w:rsidRPr="000F7038">
        <w:rPr>
          <w:rFonts w:ascii="Times New Roman" w:hAnsi="Times New Roman" w:cs="Times New Roman"/>
          <w:color w:val="000000" w:themeColor="text1"/>
          <w:sz w:val="24"/>
          <w:szCs w:val="24"/>
        </w:rPr>
        <w:t xml:space="preserve"> Hail, 2002</w:t>
      </w:r>
      <w:r w:rsidR="00600CA1" w:rsidRPr="000F7038">
        <w:rPr>
          <w:rFonts w:ascii="Times New Roman" w:hAnsi="Times New Roman" w:cs="Times New Roman"/>
          <w:color w:val="000000" w:themeColor="text1"/>
          <w:sz w:val="24"/>
          <w:szCs w:val="24"/>
        </w:rPr>
        <w:t xml:space="preserve">, and </w:t>
      </w:r>
      <w:proofErr w:type="spellStart"/>
      <w:r w:rsidR="00600CA1" w:rsidRPr="000F7038">
        <w:rPr>
          <w:rFonts w:ascii="Times New Roman" w:hAnsi="Times New Roman" w:cs="Times New Roman"/>
          <w:color w:val="000000" w:themeColor="text1"/>
          <w:sz w:val="24"/>
          <w:szCs w:val="24"/>
        </w:rPr>
        <w:t>Mohd</w:t>
      </w:r>
      <w:proofErr w:type="spellEnd"/>
      <w:r w:rsidR="00600CA1" w:rsidRPr="000F7038">
        <w:rPr>
          <w:rFonts w:ascii="Times New Roman" w:hAnsi="Times New Roman" w:cs="Times New Roman"/>
          <w:color w:val="000000" w:themeColor="text1"/>
          <w:sz w:val="24"/>
          <w:szCs w:val="24"/>
        </w:rPr>
        <w:t xml:space="preserve"> Razali, Wong, </w:t>
      </w:r>
      <w:proofErr w:type="spellStart"/>
      <w:r w:rsidR="00600CA1" w:rsidRPr="000F7038">
        <w:rPr>
          <w:rFonts w:ascii="Times New Roman" w:hAnsi="Times New Roman" w:cs="Times New Roman"/>
          <w:color w:val="000000" w:themeColor="text1"/>
          <w:sz w:val="24"/>
          <w:szCs w:val="24"/>
        </w:rPr>
        <w:t>Shaharuddin</w:t>
      </w:r>
      <w:proofErr w:type="spellEnd"/>
      <w:r w:rsidR="00600CA1" w:rsidRPr="000F7038">
        <w:rPr>
          <w:rFonts w:ascii="Times New Roman" w:hAnsi="Times New Roman" w:cs="Times New Roman"/>
          <w:color w:val="000000" w:themeColor="text1"/>
          <w:sz w:val="24"/>
          <w:szCs w:val="24"/>
        </w:rPr>
        <w:t xml:space="preserve">, </w:t>
      </w:r>
      <w:proofErr w:type="spellStart"/>
      <w:r w:rsidR="00600CA1" w:rsidRPr="000F7038">
        <w:rPr>
          <w:rFonts w:ascii="Times New Roman" w:hAnsi="Times New Roman" w:cs="Times New Roman"/>
          <w:color w:val="000000" w:themeColor="text1"/>
          <w:sz w:val="24"/>
          <w:szCs w:val="24"/>
        </w:rPr>
        <w:t>Tak</w:t>
      </w:r>
      <w:proofErr w:type="spellEnd"/>
      <w:r w:rsidR="00600CA1" w:rsidRPr="000F7038">
        <w:rPr>
          <w:rFonts w:ascii="Times New Roman" w:hAnsi="Times New Roman" w:cs="Times New Roman"/>
          <w:color w:val="000000" w:themeColor="text1"/>
          <w:sz w:val="24"/>
          <w:szCs w:val="24"/>
        </w:rPr>
        <w:t xml:space="preserve">, &amp; Ahmad </w:t>
      </w:r>
      <w:proofErr w:type="spellStart"/>
      <w:r w:rsidR="00600CA1" w:rsidRPr="000F7038">
        <w:rPr>
          <w:rFonts w:ascii="Times New Roman" w:hAnsi="Times New Roman" w:cs="Times New Roman"/>
          <w:color w:val="000000" w:themeColor="text1"/>
          <w:sz w:val="24"/>
          <w:szCs w:val="24"/>
        </w:rPr>
        <w:t>Hajazi</w:t>
      </w:r>
      <w:proofErr w:type="spellEnd"/>
      <w:r w:rsidR="00600CA1" w:rsidRPr="000F7038">
        <w:rPr>
          <w:rFonts w:ascii="Times New Roman" w:hAnsi="Times New Roman" w:cs="Times New Roman"/>
          <w:color w:val="000000" w:themeColor="text1"/>
          <w:sz w:val="24"/>
          <w:szCs w:val="24"/>
        </w:rPr>
        <w:t>, 2017</w:t>
      </w:r>
      <w:r w:rsidR="00305DB8" w:rsidRPr="000F7038">
        <w:rPr>
          <w:rFonts w:ascii="Times New Roman" w:hAnsi="Times New Roman" w:cs="Times New Roman"/>
          <w:color w:val="000000" w:themeColor="text1"/>
          <w:sz w:val="24"/>
          <w:szCs w:val="24"/>
        </w:rPr>
        <w:t xml:space="preserve">). </w:t>
      </w:r>
      <w:r w:rsidRPr="000F7038">
        <w:rPr>
          <w:rFonts w:ascii="Times New Roman" w:hAnsi="Times New Roman" w:cs="Times New Roman"/>
          <w:color w:val="000000" w:themeColor="text1"/>
          <w:sz w:val="24"/>
          <w:szCs w:val="24"/>
        </w:rPr>
        <w:t xml:space="preserve">Thus, </w:t>
      </w:r>
      <w:proofErr w:type="spellStart"/>
      <w:r w:rsidRPr="000F7038">
        <w:rPr>
          <w:rFonts w:ascii="Times New Roman" w:hAnsi="Times New Roman" w:cs="Times New Roman"/>
          <w:color w:val="000000" w:themeColor="text1"/>
          <w:sz w:val="24"/>
          <w:szCs w:val="24"/>
        </w:rPr>
        <w:t>Verrecchia</w:t>
      </w:r>
      <w:proofErr w:type="spellEnd"/>
      <w:r w:rsidRPr="000F7038">
        <w:rPr>
          <w:rFonts w:ascii="Times New Roman" w:hAnsi="Times New Roman" w:cs="Times New Roman"/>
          <w:color w:val="000000" w:themeColor="text1"/>
          <w:sz w:val="24"/>
          <w:szCs w:val="24"/>
        </w:rPr>
        <w:t xml:space="preserve"> (2001) examined that participating of investor in market transaction will increase the market liquidity and decreased ask-bid spreads. Not only that, investor will analyse annual report that contain environmental practice that done by firm before making investing decision (</w:t>
      </w:r>
      <w:proofErr w:type="spellStart"/>
      <w:r w:rsidRPr="000F7038">
        <w:rPr>
          <w:rFonts w:ascii="Times New Roman" w:hAnsi="Times New Roman" w:cs="Times New Roman"/>
          <w:color w:val="000000" w:themeColor="text1"/>
          <w:sz w:val="24"/>
          <w:szCs w:val="24"/>
        </w:rPr>
        <w:t>Kamatra</w:t>
      </w:r>
      <w:proofErr w:type="spellEnd"/>
      <w:r w:rsidRPr="000F7038">
        <w:rPr>
          <w:rFonts w:ascii="Times New Roman" w:hAnsi="Times New Roman" w:cs="Times New Roman"/>
          <w:color w:val="000000" w:themeColor="text1"/>
          <w:sz w:val="24"/>
          <w:szCs w:val="24"/>
        </w:rPr>
        <w:t xml:space="preserve"> and </w:t>
      </w:r>
      <w:proofErr w:type="spellStart"/>
      <w:r w:rsidRPr="000F7038">
        <w:rPr>
          <w:rFonts w:ascii="Times New Roman" w:hAnsi="Times New Roman" w:cs="Times New Roman"/>
          <w:color w:val="000000" w:themeColor="text1"/>
          <w:sz w:val="24"/>
          <w:szCs w:val="24"/>
        </w:rPr>
        <w:t>Kartikaningdyah</w:t>
      </w:r>
      <w:proofErr w:type="spellEnd"/>
      <w:r w:rsidRPr="000F7038">
        <w:rPr>
          <w:rFonts w:ascii="Times New Roman" w:hAnsi="Times New Roman" w:cs="Times New Roman"/>
          <w:color w:val="000000" w:themeColor="text1"/>
          <w:sz w:val="24"/>
          <w:szCs w:val="24"/>
        </w:rPr>
        <w:t xml:space="preserve">, 2015). </w:t>
      </w:r>
    </w:p>
    <w:p w14:paraId="78DFC390" w14:textId="7ECAC84C" w:rsidR="00214C58" w:rsidRPr="000F7038" w:rsidRDefault="00214C58" w:rsidP="006E01D2">
      <w:pPr>
        <w:pStyle w:val="ListParagraph"/>
        <w:spacing w:after="0" w:line="240" w:lineRule="auto"/>
        <w:ind w:left="0" w:firstLine="72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Based on the trading hypothesis, transparency level of the companies induces transaction volume that </w:t>
      </w:r>
      <w:r w:rsidR="001610BD" w:rsidRPr="000F7038">
        <w:rPr>
          <w:rFonts w:ascii="Times New Roman" w:hAnsi="Times New Roman" w:cs="Times New Roman"/>
          <w:color w:val="000000" w:themeColor="text1"/>
          <w:sz w:val="24"/>
          <w:szCs w:val="24"/>
        </w:rPr>
        <w:t xml:space="preserve">lead to </w:t>
      </w:r>
      <w:r w:rsidRPr="000F7038">
        <w:rPr>
          <w:rFonts w:ascii="Times New Roman" w:hAnsi="Times New Roman" w:cs="Times New Roman"/>
          <w:color w:val="000000" w:themeColor="text1"/>
          <w:sz w:val="24"/>
          <w:szCs w:val="24"/>
        </w:rPr>
        <w:t>increase the stock market liquidity (</w:t>
      </w:r>
      <w:proofErr w:type="spellStart"/>
      <w:r w:rsidRPr="000F7038">
        <w:rPr>
          <w:rFonts w:ascii="Times New Roman" w:hAnsi="Times New Roman" w:cs="Times New Roman"/>
          <w:color w:val="000000" w:themeColor="text1"/>
          <w:sz w:val="24"/>
          <w:szCs w:val="24"/>
        </w:rPr>
        <w:t>Ajina</w:t>
      </w:r>
      <w:proofErr w:type="spellEnd"/>
      <w:r w:rsidRPr="000F7038">
        <w:rPr>
          <w:rFonts w:ascii="Times New Roman" w:hAnsi="Times New Roman" w:cs="Times New Roman"/>
          <w:color w:val="000000" w:themeColor="text1"/>
          <w:sz w:val="24"/>
          <w:szCs w:val="24"/>
        </w:rPr>
        <w:t xml:space="preserve"> et al., 2015). The companies that disclosure more environmental information will get attract investors to desire make transactions in the markets. One of the advantage</w:t>
      </w:r>
      <w:r w:rsidR="001610BD" w:rsidRPr="000F7038">
        <w:rPr>
          <w:rFonts w:ascii="Times New Roman" w:hAnsi="Times New Roman" w:cs="Times New Roman"/>
          <w:color w:val="000000" w:themeColor="text1"/>
          <w:sz w:val="24"/>
          <w:szCs w:val="24"/>
        </w:rPr>
        <w:t>s</w:t>
      </w:r>
      <w:r w:rsidRPr="000F7038">
        <w:rPr>
          <w:rFonts w:ascii="Times New Roman" w:hAnsi="Times New Roman" w:cs="Times New Roman"/>
          <w:color w:val="000000" w:themeColor="text1"/>
          <w:sz w:val="24"/>
          <w:szCs w:val="24"/>
        </w:rPr>
        <w:t xml:space="preserve"> of </w:t>
      </w:r>
      <w:r w:rsidR="001610BD" w:rsidRPr="000F7038">
        <w:rPr>
          <w:rFonts w:ascii="Times New Roman" w:hAnsi="Times New Roman" w:cs="Times New Roman"/>
          <w:color w:val="000000" w:themeColor="text1"/>
          <w:sz w:val="24"/>
          <w:szCs w:val="24"/>
        </w:rPr>
        <w:t xml:space="preserve">the </w:t>
      </w:r>
      <w:r w:rsidRPr="000F7038">
        <w:rPr>
          <w:rFonts w:ascii="Times New Roman" w:hAnsi="Times New Roman" w:cs="Times New Roman"/>
          <w:color w:val="000000" w:themeColor="text1"/>
          <w:sz w:val="24"/>
          <w:szCs w:val="24"/>
        </w:rPr>
        <w:t xml:space="preserve">companies that have disclosure rich information will decrease transaction cost of investors. As there </w:t>
      </w:r>
      <w:r w:rsidR="001610BD" w:rsidRPr="000F7038">
        <w:rPr>
          <w:rFonts w:ascii="Times New Roman" w:hAnsi="Times New Roman" w:cs="Times New Roman"/>
          <w:color w:val="000000" w:themeColor="text1"/>
          <w:sz w:val="24"/>
          <w:szCs w:val="24"/>
        </w:rPr>
        <w:t>are</w:t>
      </w:r>
      <w:r w:rsidRPr="000F7038">
        <w:rPr>
          <w:rFonts w:ascii="Times New Roman" w:hAnsi="Times New Roman" w:cs="Times New Roman"/>
          <w:color w:val="000000" w:themeColor="text1"/>
          <w:sz w:val="24"/>
          <w:szCs w:val="24"/>
        </w:rPr>
        <w:t xml:space="preserve"> two type of transaction cost divided as explicit and implicit costs (</w:t>
      </w:r>
      <w:proofErr w:type="spellStart"/>
      <w:r w:rsidRPr="000F7038">
        <w:rPr>
          <w:rFonts w:ascii="Times New Roman" w:hAnsi="Times New Roman" w:cs="Times New Roman"/>
          <w:color w:val="000000" w:themeColor="text1"/>
          <w:sz w:val="24"/>
          <w:szCs w:val="24"/>
        </w:rPr>
        <w:t>Biais</w:t>
      </w:r>
      <w:proofErr w:type="spellEnd"/>
      <w:r w:rsidRPr="000F7038">
        <w:rPr>
          <w:rFonts w:ascii="Times New Roman" w:hAnsi="Times New Roman" w:cs="Times New Roman"/>
          <w:color w:val="000000" w:themeColor="text1"/>
          <w:sz w:val="24"/>
          <w:szCs w:val="24"/>
        </w:rPr>
        <w:t xml:space="preserve">, </w:t>
      </w:r>
      <w:proofErr w:type="spellStart"/>
      <w:r w:rsidRPr="000F7038">
        <w:rPr>
          <w:rFonts w:ascii="Times New Roman" w:hAnsi="Times New Roman" w:cs="Times New Roman"/>
          <w:color w:val="000000" w:themeColor="text1"/>
          <w:sz w:val="24"/>
          <w:szCs w:val="24"/>
        </w:rPr>
        <w:t>Hillion</w:t>
      </w:r>
      <w:proofErr w:type="spellEnd"/>
      <w:r w:rsidRPr="000F7038">
        <w:rPr>
          <w:rFonts w:ascii="Times New Roman" w:hAnsi="Times New Roman" w:cs="Times New Roman"/>
          <w:color w:val="000000" w:themeColor="text1"/>
          <w:sz w:val="24"/>
          <w:szCs w:val="24"/>
        </w:rPr>
        <w:t xml:space="preserve"> </w:t>
      </w:r>
      <w:r w:rsidR="006E01D2" w:rsidRPr="000F7038">
        <w:rPr>
          <w:rFonts w:ascii="Times New Roman" w:hAnsi="Times New Roman" w:cs="Times New Roman"/>
          <w:color w:val="000000" w:themeColor="text1"/>
          <w:sz w:val="24"/>
          <w:szCs w:val="24"/>
        </w:rPr>
        <w:t>&amp;</w:t>
      </w:r>
      <w:r w:rsidRPr="000F7038">
        <w:rPr>
          <w:rFonts w:ascii="Times New Roman" w:hAnsi="Times New Roman" w:cs="Times New Roman"/>
          <w:color w:val="000000" w:themeColor="text1"/>
          <w:sz w:val="24"/>
          <w:szCs w:val="24"/>
        </w:rPr>
        <w:t xml:space="preserve"> Foucault, 1997). The explicit cost includes fees and taxes which decreasing the operations profitability when switching for an order. So</w:t>
      </w:r>
      <w:r w:rsidR="001610BD" w:rsidRPr="000F7038">
        <w:rPr>
          <w:rFonts w:ascii="Times New Roman" w:hAnsi="Times New Roman" w:cs="Times New Roman"/>
          <w:color w:val="000000" w:themeColor="text1"/>
          <w:sz w:val="24"/>
          <w:szCs w:val="24"/>
        </w:rPr>
        <w:t xml:space="preserve"> </w:t>
      </w:r>
      <w:r w:rsidRPr="000F7038">
        <w:rPr>
          <w:rFonts w:ascii="Times New Roman" w:hAnsi="Times New Roman" w:cs="Times New Roman"/>
          <w:color w:val="000000" w:themeColor="text1"/>
          <w:sz w:val="24"/>
          <w:szCs w:val="24"/>
        </w:rPr>
        <w:t>more voluntary information disclosure will reduce the information asymmetry problem</w:t>
      </w:r>
      <w:r w:rsidR="001610BD" w:rsidRPr="000F7038">
        <w:rPr>
          <w:rFonts w:ascii="Times New Roman" w:hAnsi="Times New Roman" w:cs="Times New Roman"/>
          <w:color w:val="000000" w:themeColor="text1"/>
          <w:sz w:val="24"/>
          <w:szCs w:val="24"/>
        </w:rPr>
        <w:t>s</w:t>
      </w:r>
      <w:r w:rsidRPr="000F7038">
        <w:rPr>
          <w:rFonts w:ascii="Times New Roman" w:hAnsi="Times New Roman" w:cs="Times New Roman"/>
          <w:color w:val="000000" w:themeColor="text1"/>
          <w:sz w:val="24"/>
          <w:szCs w:val="24"/>
        </w:rPr>
        <w:t xml:space="preserve"> and decrease the cost of transaction (Heflin et al., 2005). Hence, this increase transaction volume </w:t>
      </w:r>
      <w:proofErr w:type="gramStart"/>
      <w:r w:rsidRPr="000F7038">
        <w:rPr>
          <w:rFonts w:ascii="Times New Roman" w:hAnsi="Times New Roman" w:cs="Times New Roman"/>
          <w:color w:val="000000" w:themeColor="text1"/>
          <w:sz w:val="24"/>
          <w:szCs w:val="24"/>
        </w:rPr>
        <w:t>and also</w:t>
      </w:r>
      <w:proofErr w:type="gramEnd"/>
      <w:r w:rsidRPr="000F7038">
        <w:rPr>
          <w:rFonts w:ascii="Times New Roman" w:hAnsi="Times New Roman" w:cs="Times New Roman"/>
          <w:color w:val="000000" w:themeColor="text1"/>
          <w:sz w:val="24"/>
          <w:szCs w:val="24"/>
        </w:rPr>
        <w:t xml:space="preserve"> investor’s confidence to invest</w:t>
      </w:r>
      <w:r w:rsidR="001610BD" w:rsidRPr="000F7038">
        <w:rPr>
          <w:rFonts w:ascii="Times New Roman" w:hAnsi="Times New Roman" w:cs="Times New Roman"/>
          <w:color w:val="000000" w:themeColor="text1"/>
          <w:sz w:val="24"/>
          <w:szCs w:val="24"/>
        </w:rPr>
        <w:t xml:space="preserve"> in</w:t>
      </w:r>
      <w:r w:rsidRPr="000F7038">
        <w:rPr>
          <w:rFonts w:ascii="Times New Roman" w:hAnsi="Times New Roman" w:cs="Times New Roman"/>
          <w:color w:val="000000" w:themeColor="text1"/>
          <w:sz w:val="24"/>
          <w:szCs w:val="24"/>
        </w:rPr>
        <w:t xml:space="preserve"> the company that highly disclosure environmental information which helps them</w:t>
      </w:r>
      <w:r w:rsidR="001610BD" w:rsidRPr="000F7038">
        <w:rPr>
          <w:rFonts w:ascii="Times New Roman" w:hAnsi="Times New Roman" w:cs="Times New Roman"/>
          <w:color w:val="000000" w:themeColor="text1"/>
          <w:sz w:val="24"/>
          <w:szCs w:val="24"/>
        </w:rPr>
        <w:t xml:space="preserve"> to</w:t>
      </w:r>
      <w:r w:rsidRPr="000F7038">
        <w:rPr>
          <w:rFonts w:ascii="Times New Roman" w:hAnsi="Times New Roman" w:cs="Times New Roman"/>
          <w:color w:val="000000" w:themeColor="text1"/>
          <w:sz w:val="24"/>
          <w:szCs w:val="24"/>
        </w:rPr>
        <w:t xml:space="preserve"> reduce unnecessary </w:t>
      </w:r>
      <w:r w:rsidR="001610BD" w:rsidRPr="000F7038">
        <w:rPr>
          <w:rFonts w:ascii="Times New Roman" w:hAnsi="Times New Roman" w:cs="Times New Roman"/>
          <w:color w:val="000000" w:themeColor="text1"/>
          <w:sz w:val="24"/>
          <w:szCs w:val="24"/>
        </w:rPr>
        <w:t xml:space="preserve">transaction </w:t>
      </w:r>
      <w:r w:rsidRPr="000F7038">
        <w:rPr>
          <w:rFonts w:ascii="Times New Roman" w:hAnsi="Times New Roman" w:cs="Times New Roman"/>
          <w:color w:val="000000" w:themeColor="text1"/>
          <w:sz w:val="24"/>
          <w:szCs w:val="24"/>
        </w:rPr>
        <w:t>cost</w:t>
      </w:r>
      <w:r w:rsidR="008748BF" w:rsidRPr="000F7038">
        <w:rPr>
          <w:rFonts w:ascii="Times New Roman" w:hAnsi="Times New Roman" w:cs="Times New Roman"/>
          <w:color w:val="000000" w:themeColor="text1"/>
          <w:sz w:val="24"/>
          <w:szCs w:val="24"/>
        </w:rPr>
        <w:t xml:space="preserve">. </w:t>
      </w:r>
      <w:r w:rsidRPr="000F7038">
        <w:rPr>
          <w:rFonts w:ascii="Times New Roman" w:hAnsi="Times New Roman" w:cs="Times New Roman"/>
          <w:color w:val="000000" w:themeColor="text1"/>
          <w:sz w:val="24"/>
          <w:szCs w:val="24"/>
        </w:rPr>
        <w:t>It can be conclud</w:t>
      </w:r>
      <w:r w:rsidR="001610BD" w:rsidRPr="000F7038">
        <w:rPr>
          <w:rFonts w:ascii="Times New Roman" w:hAnsi="Times New Roman" w:cs="Times New Roman"/>
          <w:color w:val="000000" w:themeColor="text1"/>
          <w:sz w:val="24"/>
          <w:szCs w:val="24"/>
        </w:rPr>
        <w:t>ed</w:t>
      </w:r>
      <w:r w:rsidRPr="000F7038">
        <w:rPr>
          <w:rFonts w:ascii="Times New Roman" w:hAnsi="Times New Roman" w:cs="Times New Roman"/>
          <w:color w:val="000000" w:themeColor="text1"/>
          <w:sz w:val="24"/>
          <w:szCs w:val="24"/>
        </w:rPr>
        <w:t xml:space="preserve"> that the high disclosure environmental information will reduce adverse selection and information asymmetry but increasing of stock liquidity (Healy and Palepu, 2001).  </w:t>
      </w:r>
    </w:p>
    <w:p w14:paraId="68D88EF0" w14:textId="168EE258" w:rsidR="00305DB8" w:rsidRPr="000F7038" w:rsidRDefault="006E01D2" w:rsidP="006E01D2">
      <w:pPr>
        <w:pStyle w:val="ListParagraph"/>
        <w:spacing w:after="0" w:line="240" w:lineRule="auto"/>
        <w:ind w:left="0" w:firstLine="18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        </w:t>
      </w:r>
      <w:r w:rsidR="0093130B" w:rsidRPr="000F7038">
        <w:rPr>
          <w:rFonts w:ascii="Times New Roman" w:hAnsi="Times New Roman" w:cs="Times New Roman"/>
          <w:color w:val="000000" w:themeColor="text1"/>
          <w:sz w:val="24"/>
          <w:szCs w:val="24"/>
        </w:rPr>
        <w:t>P</w:t>
      </w:r>
      <w:r w:rsidR="001610BD" w:rsidRPr="000F7038">
        <w:rPr>
          <w:rFonts w:ascii="Times New Roman" w:hAnsi="Times New Roman" w:cs="Times New Roman"/>
          <w:color w:val="000000" w:themeColor="text1"/>
          <w:sz w:val="24"/>
          <w:szCs w:val="24"/>
        </w:rPr>
        <w:t>rior studies on</w:t>
      </w:r>
      <w:r w:rsidR="00305DB8" w:rsidRPr="000F7038">
        <w:rPr>
          <w:rFonts w:ascii="Times New Roman" w:hAnsi="Times New Roman" w:cs="Times New Roman"/>
          <w:color w:val="000000" w:themeColor="text1"/>
          <w:sz w:val="24"/>
          <w:szCs w:val="24"/>
        </w:rPr>
        <w:t xml:space="preserve"> the relationship between environmental disclosure and</w:t>
      </w:r>
      <w:r w:rsidR="001610BD" w:rsidRPr="000F7038">
        <w:rPr>
          <w:rFonts w:ascii="Times New Roman" w:hAnsi="Times New Roman" w:cs="Times New Roman"/>
          <w:color w:val="000000" w:themeColor="text1"/>
          <w:sz w:val="24"/>
          <w:szCs w:val="24"/>
        </w:rPr>
        <w:t xml:space="preserve"> the</w:t>
      </w:r>
      <w:r w:rsidR="00305DB8" w:rsidRPr="000F7038">
        <w:rPr>
          <w:rFonts w:ascii="Times New Roman" w:hAnsi="Times New Roman" w:cs="Times New Roman"/>
          <w:color w:val="000000" w:themeColor="text1"/>
          <w:sz w:val="24"/>
          <w:szCs w:val="24"/>
        </w:rPr>
        <w:t xml:space="preserve"> stock market liquidity was done by </w:t>
      </w:r>
      <w:r w:rsidR="00600CA1" w:rsidRPr="000F7038">
        <w:rPr>
          <w:rFonts w:ascii="Times New Roman" w:hAnsi="Times New Roman" w:cs="Times New Roman"/>
          <w:color w:val="000000" w:themeColor="text1"/>
          <w:sz w:val="24"/>
          <w:szCs w:val="24"/>
        </w:rPr>
        <w:t>other</w:t>
      </w:r>
      <w:r w:rsidR="00305DB8" w:rsidRPr="000F7038">
        <w:rPr>
          <w:rFonts w:ascii="Times New Roman" w:hAnsi="Times New Roman" w:cs="Times New Roman"/>
          <w:color w:val="000000" w:themeColor="text1"/>
          <w:sz w:val="24"/>
          <w:szCs w:val="24"/>
        </w:rPr>
        <w:t xml:space="preserve"> countr</w:t>
      </w:r>
      <w:r w:rsidR="00600CA1" w:rsidRPr="000F7038">
        <w:rPr>
          <w:rFonts w:ascii="Times New Roman" w:hAnsi="Times New Roman" w:cs="Times New Roman"/>
          <w:color w:val="000000" w:themeColor="text1"/>
          <w:sz w:val="24"/>
          <w:szCs w:val="24"/>
        </w:rPr>
        <w:t>y</w:t>
      </w:r>
      <w:r w:rsidR="00305DB8" w:rsidRPr="000F7038">
        <w:rPr>
          <w:rFonts w:ascii="Times New Roman" w:hAnsi="Times New Roman" w:cs="Times New Roman"/>
          <w:color w:val="000000" w:themeColor="text1"/>
          <w:sz w:val="24"/>
          <w:szCs w:val="24"/>
        </w:rPr>
        <w:t xml:space="preserve"> </w:t>
      </w:r>
      <w:r w:rsidR="001610BD" w:rsidRPr="000F7038">
        <w:rPr>
          <w:rFonts w:ascii="Times New Roman" w:hAnsi="Times New Roman" w:cs="Times New Roman"/>
          <w:color w:val="000000" w:themeColor="text1"/>
          <w:sz w:val="24"/>
          <w:szCs w:val="24"/>
        </w:rPr>
        <w:t>(</w:t>
      </w:r>
      <w:proofErr w:type="spellStart"/>
      <w:r w:rsidR="001610BD" w:rsidRPr="000F7038">
        <w:rPr>
          <w:rFonts w:ascii="Times New Roman" w:hAnsi="Times New Roman" w:cs="Times New Roman"/>
          <w:color w:val="000000" w:themeColor="text1"/>
          <w:sz w:val="24"/>
          <w:szCs w:val="24"/>
        </w:rPr>
        <w:t>Akrout</w:t>
      </w:r>
      <w:proofErr w:type="spellEnd"/>
      <w:r w:rsidR="001610BD" w:rsidRPr="000F7038">
        <w:rPr>
          <w:rFonts w:ascii="Times New Roman" w:hAnsi="Times New Roman" w:cs="Times New Roman"/>
          <w:color w:val="000000" w:themeColor="text1"/>
          <w:sz w:val="24"/>
          <w:szCs w:val="24"/>
        </w:rPr>
        <w:t xml:space="preserve"> and</w:t>
      </w:r>
      <w:r w:rsidR="0093130B" w:rsidRPr="000F7038">
        <w:rPr>
          <w:rFonts w:ascii="Times New Roman" w:hAnsi="Times New Roman" w:cs="Times New Roman"/>
          <w:color w:val="000000" w:themeColor="text1"/>
          <w:sz w:val="24"/>
          <w:szCs w:val="24"/>
        </w:rPr>
        <w:t xml:space="preserve"> Ben Othman, 2016) b</w:t>
      </w:r>
      <w:r w:rsidR="000D368E" w:rsidRPr="000F7038">
        <w:rPr>
          <w:rFonts w:ascii="Times New Roman" w:hAnsi="Times New Roman" w:cs="Times New Roman"/>
          <w:color w:val="000000" w:themeColor="text1"/>
          <w:sz w:val="24"/>
          <w:szCs w:val="24"/>
        </w:rPr>
        <w:t>ut no research</w:t>
      </w:r>
      <w:r w:rsidR="00305DB8" w:rsidRPr="000F7038">
        <w:rPr>
          <w:rFonts w:ascii="Times New Roman" w:hAnsi="Times New Roman" w:cs="Times New Roman"/>
          <w:color w:val="000000" w:themeColor="text1"/>
          <w:sz w:val="24"/>
          <w:szCs w:val="24"/>
        </w:rPr>
        <w:t xml:space="preserve"> have </w:t>
      </w:r>
      <w:r w:rsidR="000D368E" w:rsidRPr="000F7038">
        <w:rPr>
          <w:rFonts w:ascii="Times New Roman" w:hAnsi="Times New Roman" w:cs="Times New Roman"/>
          <w:color w:val="000000" w:themeColor="text1"/>
          <w:sz w:val="24"/>
          <w:szCs w:val="24"/>
        </w:rPr>
        <w:t>been</w:t>
      </w:r>
      <w:r w:rsidR="00305DB8" w:rsidRPr="000F7038">
        <w:rPr>
          <w:rFonts w:ascii="Times New Roman" w:hAnsi="Times New Roman" w:cs="Times New Roman"/>
          <w:color w:val="000000" w:themeColor="text1"/>
          <w:sz w:val="24"/>
          <w:szCs w:val="24"/>
        </w:rPr>
        <w:t xml:space="preserve"> examined in Malaysia. Thus, </w:t>
      </w:r>
      <w:r w:rsidR="0024373E" w:rsidRPr="000F7038">
        <w:rPr>
          <w:rFonts w:ascii="Times New Roman" w:hAnsi="Times New Roman" w:cs="Times New Roman"/>
          <w:color w:val="000000" w:themeColor="text1"/>
          <w:sz w:val="24"/>
          <w:szCs w:val="24"/>
        </w:rPr>
        <w:t>aim</w:t>
      </w:r>
      <w:r w:rsidR="00305DB8" w:rsidRPr="000F7038">
        <w:rPr>
          <w:rFonts w:ascii="Times New Roman" w:hAnsi="Times New Roman" w:cs="Times New Roman"/>
          <w:color w:val="000000" w:themeColor="text1"/>
          <w:sz w:val="24"/>
          <w:szCs w:val="24"/>
        </w:rPr>
        <w:t xml:space="preserve"> of </w:t>
      </w:r>
      <w:r w:rsidR="0024373E" w:rsidRPr="000F7038">
        <w:rPr>
          <w:rFonts w:ascii="Times New Roman" w:hAnsi="Times New Roman" w:cs="Times New Roman"/>
          <w:color w:val="000000" w:themeColor="text1"/>
          <w:sz w:val="24"/>
          <w:szCs w:val="24"/>
        </w:rPr>
        <w:t>this research</w:t>
      </w:r>
      <w:r w:rsidR="00305DB8" w:rsidRPr="000F7038">
        <w:rPr>
          <w:rFonts w:ascii="Times New Roman" w:hAnsi="Times New Roman" w:cs="Times New Roman"/>
          <w:color w:val="000000" w:themeColor="text1"/>
          <w:sz w:val="24"/>
          <w:szCs w:val="24"/>
        </w:rPr>
        <w:t xml:space="preserve"> was to determine about the connection between disclosure of environmental information and stock market liquidity of public listed firm in Bursa Malaysia. </w:t>
      </w:r>
      <w:r w:rsidR="000D368E" w:rsidRPr="000F7038">
        <w:rPr>
          <w:rFonts w:ascii="Times New Roman" w:hAnsi="Times New Roman" w:cs="Times New Roman"/>
          <w:color w:val="000000" w:themeColor="text1"/>
          <w:sz w:val="24"/>
          <w:szCs w:val="24"/>
        </w:rPr>
        <w:t>Thus, i</w:t>
      </w:r>
      <w:r w:rsidR="00305DB8" w:rsidRPr="000F7038">
        <w:rPr>
          <w:rFonts w:ascii="Times New Roman" w:hAnsi="Times New Roman" w:cs="Times New Roman"/>
          <w:color w:val="000000" w:themeColor="text1"/>
          <w:sz w:val="24"/>
          <w:szCs w:val="24"/>
        </w:rPr>
        <w:t xml:space="preserve">t is </w:t>
      </w:r>
      <w:r w:rsidR="009C38CF" w:rsidRPr="000F7038">
        <w:rPr>
          <w:rFonts w:ascii="Times New Roman" w:hAnsi="Times New Roman" w:cs="Times New Roman"/>
          <w:color w:val="000000" w:themeColor="text1"/>
          <w:sz w:val="24"/>
          <w:szCs w:val="24"/>
        </w:rPr>
        <w:t>crucial</w:t>
      </w:r>
      <w:r w:rsidR="0024373E" w:rsidRPr="000F7038">
        <w:rPr>
          <w:rFonts w:ascii="Times New Roman" w:hAnsi="Times New Roman" w:cs="Times New Roman"/>
          <w:color w:val="000000" w:themeColor="text1"/>
          <w:sz w:val="24"/>
          <w:szCs w:val="24"/>
        </w:rPr>
        <w:t xml:space="preserve"> </w:t>
      </w:r>
      <w:r w:rsidR="00305DB8" w:rsidRPr="000F7038">
        <w:rPr>
          <w:rFonts w:ascii="Times New Roman" w:hAnsi="Times New Roman" w:cs="Times New Roman"/>
          <w:color w:val="000000" w:themeColor="text1"/>
          <w:sz w:val="24"/>
          <w:szCs w:val="24"/>
        </w:rPr>
        <w:t xml:space="preserve">for determine the relationship between environmental disclosure and stock market liquidity as to reassure the essentially implement environmental disclosure in annual report. </w:t>
      </w:r>
    </w:p>
    <w:p w14:paraId="0F78AD21" w14:textId="77777777" w:rsidR="00305DB8" w:rsidRPr="000F7038" w:rsidRDefault="00305DB8" w:rsidP="006E01D2">
      <w:pPr>
        <w:pStyle w:val="ListParagraph"/>
        <w:spacing w:after="0" w:line="240" w:lineRule="auto"/>
        <w:ind w:left="180" w:hanging="180"/>
        <w:jc w:val="both"/>
        <w:rPr>
          <w:rFonts w:ascii="Times New Roman" w:hAnsi="Times New Roman" w:cs="Times New Roman"/>
          <w:color w:val="000000" w:themeColor="text1"/>
          <w:sz w:val="24"/>
          <w:szCs w:val="24"/>
        </w:rPr>
      </w:pPr>
    </w:p>
    <w:p w14:paraId="33D1B742" w14:textId="58523FD4" w:rsidR="00D80F8A" w:rsidRPr="000F7038" w:rsidRDefault="00576D34" w:rsidP="006E01D2">
      <w:pPr>
        <w:pStyle w:val="ListParagraph"/>
        <w:numPr>
          <w:ilvl w:val="0"/>
          <w:numId w:val="1"/>
        </w:numPr>
        <w:spacing w:after="0" w:line="240" w:lineRule="auto"/>
        <w:ind w:left="180" w:hanging="180"/>
        <w:jc w:val="both"/>
        <w:rPr>
          <w:rFonts w:ascii="Times New Roman" w:hAnsi="Times New Roman" w:cs="Times New Roman"/>
          <w:b/>
          <w:bCs/>
          <w:color w:val="000000" w:themeColor="text1"/>
          <w:sz w:val="24"/>
          <w:szCs w:val="24"/>
        </w:rPr>
      </w:pPr>
      <w:r w:rsidRPr="000F7038">
        <w:rPr>
          <w:rFonts w:ascii="Times New Roman" w:hAnsi="Times New Roman" w:cs="Times New Roman"/>
          <w:b/>
          <w:bCs/>
          <w:color w:val="000000" w:themeColor="text1"/>
          <w:sz w:val="24"/>
          <w:szCs w:val="24"/>
        </w:rPr>
        <w:t>Literature Review</w:t>
      </w:r>
    </w:p>
    <w:p w14:paraId="5F92B942" w14:textId="599859B0" w:rsidR="0024373E" w:rsidRPr="000F7038" w:rsidRDefault="000D368E" w:rsidP="006E01D2">
      <w:pPr>
        <w:pStyle w:val="ListParagraph"/>
        <w:spacing w:after="0" w:line="240" w:lineRule="auto"/>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Signalling t</w:t>
      </w:r>
      <w:r w:rsidR="0024373E" w:rsidRPr="000F7038">
        <w:rPr>
          <w:rFonts w:ascii="Times New Roman" w:hAnsi="Times New Roman" w:cs="Times New Roman"/>
          <w:color w:val="000000" w:themeColor="text1"/>
          <w:sz w:val="24"/>
          <w:szCs w:val="24"/>
        </w:rPr>
        <w:t>heory interpret voluntary disclosure in corporate reporting (Ros</w:t>
      </w:r>
      <w:r w:rsidR="004E3A9D" w:rsidRPr="000F7038">
        <w:rPr>
          <w:rFonts w:ascii="Times New Roman" w:hAnsi="Times New Roman" w:cs="Times New Roman"/>
          <w:color w:val="000000" w:themeColor="text1"/>
          <w:sz w:val="24"/>
          <w:szCs w:val="24"/>
        </w:rPr>
        <w:t>s</w:t>
      </w:r>
      <w:r w:rsidR="0024373E" w:rsidRPr="000F7038">
        <w:rPr>
          <w:rFonts w:ascii="Times New Roman" w:hAnsi="Times New Roman" w:cs="Times New Roman"/>
          <w:color w:val="000000" w:themeColor="text1"/>
          <w:sz w:val="24"/>
          <w:szCs w:val="24"/>
        </w:rPr>
        <w:t xml:space="preserve">, 1977). </w:t>
      </w:r>
      <w:r w:rsidRPr="000F7038">
        <w:rPr>
          <w:rFonts w:ascii="Times New Roman" w:hAnsi="Times New Roman" w:cs="Times New Roman"/>
          <w:color w:val="000000" w:themeColor="text1"/>
          <w:sz w:val="24"/>
          <w:szCs w:val="24"/>
        </w:rPr>
        <w:t>Mainly</w:t>
      </w:r>
      <w:r w:rsidR="0024373E" w:rsidRPr="000F7038">
        <w:rPr>
          <w:rFonts w:ascii="Times New Roman" w:hAnsi="Times New Roman" w:cs="Times New Roman"/>
          <w:color w:val="000000" w:themeColor="text1"/>
          <w:sz w:val="24"/>
          <w:szCs w:val="24"/>
        </w:rPr>
        <w:t xml:space="preserve">, the theory explained </w:t>
      </w:r>
      <w:r w:rsidRPr="000F7038">
        <w:rPr>
          <w:rFonts w:ascii="Times New Roman" w:hAnsi="Times New Roman" w:cs="Times New Roman"/>
          <w:color w:val="000000" w:themeColor="text1"/>
          <w:sz w:val="24"/>
          <w:szCs w:val="24"/>
        </w:rPr>
        <w:t>on</w:t>
      </w:r>
      <w:r w:rsidR="0024373E" w:rsidRPr="000F7038">
        <w:rPr>
          <w:rFonts w:ascii="Times New Roman" w:hAnsi="Times New Roman" w:cs="Times New Roman"/>
          <w:color w:val="000000" w:themeColor="text1"/>
          <w:sz w:val="24"/>
          <w:szCs w:val="24"/>
        </w:rPr>
        <w:t xml:space="preserve"> the information asymmetry in the labour market that </w:t>
      </w:r>
      <w:r w:rsidRPr="000F7038">
        <w:rPr>
          <w:rFonts w:ascii="Times New Roman" w:hAnsi="Times New Roman" w:cs="Times New Roman"/>
          <w:color w:val="000000" w:themeColor="text1"/>
          <w:sz w:val="24"/>
          <w:szCs w:val="24"/>
        </w:rPr>
        <w:t xml:space="preserve">was </w:t>
      </w:r>
      <w:r w:rsidR="0024373E" w:rsidRPr="000F7038">
        <w:rPr>
          <w:rFonts w:ascii="Times New Roman" w:hAnsi="Times New Roman" w:cs="Times New Roman"/>
          <w:color w:val="000000" w:themeColor="text1"/>
          <w:sz w:val="24"/>
          <w:szCs w:val="24"/>
        </w:rPr>
        <w:t xml:space="preserve">developed by Spence (1973). The theory mostly concentrates on administration’s intention to share information and receive signals from the market, stakeholders and society. The information asymmetry which means the information was had by the company but not the investor. Thus, some companies will signal certain information to investors to show that they are superior. Moreover, </w:t>
      </w:r>
      <w:r w:rsidRPr="000F7038">
        <w:rPr>
          <w:rFonts w:ascii="Times New Roman" w:hAnsi="Times New Roman" w:cs="Times New Roman"/>
          <w:color w:val="000000" w:themeColor="text1"/>
          <w:sz w:val="24"/>
          <w:szCs w:val="24"/>
        </w:rPr>
        <w:t xml:space="preserve">it </w:t>
      </w:r>
      <w:r w:rsidR="008748BF" w:rsidRPr="000F7038">
        <w:rPr>
          <w:rFonts w:ascii="Times New Roman" w:hAnsi="Times New Roman" w:cs="Times New Roman"/>
          <w:color w:val="000000" w:themeColor="text1"/>
          <w:sz w:val="24"/>
          <w:szCs w:val="24"/>
        </w:rPr>
        <w:t>will increase</w:t>
      </w:r>
      <w:r w:rsidR="0024373E" w:rsidRPr="000F7038">
        <w:rPr>
          <w:rFonts w:ascii="Times New Roman" w:hAnsi="Times New Roman" w:cs="Times New Roman"/>
          <w:color w:val="000000" w:themeColor="text1"/>
          <w:sz w:val="24"/>
          <w:szCs w:val="24"/>
        </w:rPr>
        <w:t xml:space="preserve"> </w:t>
      </w:r>
      <w:r w:rsidRPr="000F7038">
        <w:rPr>
          <w:rFonts w:ascii="Times New Roman" w:hAnsi="Times New Roman" w:cs="Times New Roman"/>
          <w:color w:val="000000" w:themeColor="text1"/>
          <w:sz w:val="24"/>
          <w:szCs w:val="24"/>
        </w:rPr>
        <w:t>the</w:t>
      </w:r>
      <w:r w:rsidR="0024373E" w:rsidRPr="000F7038">
        <w:rPr>
          <w:rFonts w:ascii="Times New Roman" w:hAnsi="Times New Roman" w:cs="Times New Roman"/>
          <w:color w:val="000000" w:themeColor="text1"/>
          <w:sz w:val="24"/>
          <w:szCs w:val="24"/>
        </w:rPr>
        <w:t xml:space="preserve"> firm value and performance when there was a positive signal, whereas negative signals reduce stock price and product demand (Dionne and </w:t>
      </w:r>
      <w:proofErr w:type="spellStart"/>
      <w:r w:rsidR="0024373E" w:rsidRPr="000F7038">
        <w:rPr>
          <w:rFonts w:ascii="Times New Roman" w:hAnsi="Times New Roman" w:cs="Times New Roman"/>
          <w:color w:val="000000" w:themeColor="text1"/>
          <w:sz w:val="24"/>
          <w:szCs w:val="24"/>
        </w:rPr>
        <w:t>Ouederni</w:t>
      </w:r>
      <w:proofErr w:type="spellEnd"/>
      <w:r w:rsidR="0024373E" w:rsidRPr="000F7038">
        <w:rPr>
          <w:rFonts w:ascii="Times New Roman" w:hAnsi="Times New Roman" w:cs="Times New Roman"/>
          <w:color w:val="000000" w:themeColor="text1"/>
          <w:sz w:val="24"/>
          <w:szCs w:val="24"/>
        </w:rPr>
        <w:t>, 2011). Thus, the quality of signals was associated with the performance of organization which determine the signalling cost which refers to opportunities cost.</w:t>
      </w:r>
    </w:p>
    <w:p w14:paraId="168EC5D3" w14:textId="2AAC7A19" w:rsidR="0024373E" w:rsidRPr="000F7038" w:rsidRDefault="00CE4BA7" w:rsidP="00EE3F5C">
      <w:pPr>
        <w:pStyle w:val="ListParagraph"/>
        <w:spacing w:after="0" w:line="240" w:lineRule="auto"/>
        <w:ind w:left="0" w:firstLine="72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The theory also</w:t>
      </w:r>
      <w:r w:rsidR="0024373E" w:rsidRPr="000F7038">
        <w:rPr>
          <w:rFonts w:ascii="Times New Roman" w:hAnsi="Times New Roman" w:cs="Times New Roman"/>
          <w:color w:val="000000" w:themeColor="text1"/>
          <w:sz w:val="24"/>
          <w:szCs w:val="24"/>
        </w:rPr>
        <w:t xml:space="preserve"> </w:t>
      </w:r>
      <w:r w:rsidRPr="000F7038">
        <w:rPr>
          <w:rFonts w:ascii="Times New Roman" w:hAnsi="Times New Roman" w:cs="Times New Roman"/>
          <w:color w:val="000000" w:themeColor="text1"/>
          <w:sz w:val="24"/>
          <w:szCs w:val="24"/>
        </w:rPr>
        <w:t>interprets</w:t>
      </w:r>
      <w:r w:rsidR="0024373E" w:rsidRPr="000F7038">
        <w:rPr>
          <w:rFonts w:ascii="Times New Roman" w:hAnsi="Times New Roman" w:cs="Times New Roman"/>
          <w:color w:val="000000" w:themeColor="text1"/>
          <w:sz w:val="24"/>
          <w:szCs w:val="24"/>
        </w:rPr>
        <w:t xml:space="preserve"> the signals’ reliability as a means of signalling honesty and indicating management’s willingness and commitment to society and stakeholders (Taj 2016 and Connelly et al.2011). Committed management tends to send positive signals that increase information reliability. This is because positive financial performance signals firms’ financial stability resulting in a share price increase (Dionne </w:t>
      </w:r>
      <w:r w:rsidR="006E01D2" w:rsidRPr="000F7038">
        <w:rPr>
          <w:rFonts w:ascii="Times New Roman" w:hAnsi="Times New Roman" w:cs="Times New Roman"/>
          <w:color w:val="000000" w:themeColor="text1"/>
          <w:sz w:val="24"/>
          <w:szCs w:val="24"/>
        </w:rPr>
        <w:t>&amp;</w:t>
      </w:r>
      <w:r w:rsidR="0024373E" w:rsidRPr="000F7038">
        <w:rPr>
          <w:rFonts w:ascii="Times New Roman" w:hAnsi="Times New Roman" w:cs="Times New Roman"/>
          <w:color w:val="000000" w:themeColor="text1"/>
          <w:sz w:val="24"/>
          <w:szCs w:val="24"/>
        </w:rPr>
        <w:t xml:space="preserve"> </w:t>
      </w:r>
      <w:proofErr w:type="spellStart"/>
      <w:r w:rsidR="0024373E" w:rsidRPr="000F7038">
        <w:rPr>
          <w:rFonts w:ascii="Times New Roman" w:hAnsi="Times New Roman" w:cs="Times New Roman"/>
          <w:color w:val="000000" w:themeColor="text1"/>
          <w:sz w:val="24"/>
          <w:szCs w:val="24"/>
        </w:rPr>
        <w:t>Ouedern</w:t>
      </w:r>
      <w:proofErr w:type="spellEnd"/>
      <w:r w:rsidR="0024373E" w:rsidRPr="000F7038">
        <w:rPr>
          <w:rFonts w:ascii="Times New Roman" w:hAnsi="Times New Roman" w:cs="Times New Roman"/>
          <w:color w:val="000000" w:themeColor="text1"/>
          <w:sz w:val="24"/>
          <w:szCs w:val="24"/>
        </w:rPr>
        <w:t xml:space="preserve">, 2011). </w:t>
      </w:r>
      <w:r w:rsidR="00EA594F" w:rsidRPr="000F7038">
        <w:rPr>
          <w:rFonts w:ascii="Times New Roman" w:hAnsi="Times New Roman" w:cs="Times New Roman"/>
          <w:color w:val="000000" w:themeColor="text1"/>
          <w:sz w:val="24"/>
          <w:szCs w:val="24"/>
        </w:rPr>
        <w:t>So</w:t>
      </w:r>
      <w:r w:rsidR="0024373E" w:rsidRPr="000F7038">
        <w:rPr>
          <w:rFonts w:ascii="Times New Roman" w:hAnsi="Times New Roman" w:cs="Times New Roman"/>
          <w:color w:val="000000" w:themeColor="text1"/>
          <w:sz w:val="24"/>
          <w:szCs w:val="24"/>
        </w:rPr>
        <w:t xml:space="preserve">, information disclosure plays an </w:t>
      </w:r>
      <w:r w:rsidR="00383B6A" w:rsidRPr="000F7038">
        <w:rPr>
          <w:rFonts w:ascii="Times New Roman" w:hAnsi="Times New Roman" w:cs="Times New Roman"/>
          <w:color w:val="000000" w:themeColor="text1"/>
          <w:sz w:val="24"/>
          <w:szCs w:val="24"/>
        </w:rPr>
        <w:t>important</w:t>
      </w:r>
      <w:r w:rsidR="0024373E" w:rsidRPr="000F7038">
        <w:rPr>
          <w:rFonts w:ascii="Times New Roman" w:hAnsi="Times New Roman" w:cs="Times New Roman"/>
          <w:color w:val="000000" w:themeColor="text1"/>
          <w:sz w:val="24"/>
          <w:szCs w:val="24"/>
        </w:rPr>
        <w:t xml:space="preserve"> role in the trading process by </w:t>
      </w:r>
      <w:r w:rsidR="00383B6A" w:rsidRPr="000F7038">
        <w:rPr>
          <w:rFonts w:ascii="Times New Roman" w:hAnsi="Times New Roman" w:cs="Times New Roman"/>
          <w:color w:val="000000" w:themeColor="text1"/>
          <w:sz w:val="24"/>
          <w:szCs w:val="24"/>
        </w:rPr>
        <w:t>decrease</w:t>
      </w:r>
      <w:r w:rsidR="0024373E" w:rsidRPr="000F7038">
        <w:rPr>
          <w:rFonts w:ascii="Times New Roman" w:hAnsi="Times New Roman" w:cs="Times New Roman"/>
          <w:color w:val="000000" w:themeColor="text1"/>
          <w:sz w:val="24"/>
          <w:szCs w:val="24"/>
        </w:rPr>
        <w:t xml:space="preserve"> the information asymmetries among traders. </w:t>
      </w:r>
      <w:r w:rsidR="00383B6A" w:rsidRPr="000F7038">
        <w:rPr>
          <w:rFonts w:ascii="Times New Roman" w:hAnsi="Times New Roman" w:cs="Times New Roman"/>
          <w:color w:val="000000" w:themeColor="text1"/>
          <w:sz w:val="24"/>
          <w:szCs w:val="24"/>
        </w:rPr>
        <w:t>Thus</w:t>
      </w:r>
      <w:r w:rsidR="0024373E" w:rsidRPr="000F7038">
        <w:rPr>
          <w:rFonts w:ascii="Times New Roman" w:hAnsi="Times New Roman" w:cs="Times New Roman"/>
          <w:color w:val="000000" w:themeColor="text1"/>
          <w:sz w:val="24"/>
          <w:szCs w:val="24"/>
        </w:rPr>
        <w:t>, stock mar</w:t>
      </w:r>
      <w:r w:rsidR="000D368E" w:rsidRPr="000F7038">
        <w:rPr>
          <w:rFonts w:ascii="Times New Roman" w:hAnsi="Times New Roman" w:cs="Times New Roman"/>
          <w:color w:val="000000" w:themeColor="text1"/>
          <w:sz w:val="24"/>
          <w:szCs w:val="24"/>
        </w:rPr>
        <w:t>ket liquidity will be increased</w:t>
      </w:r>
      <w:r w:rsidR="0024373E" w:rsidRPr="000F7038">
        <w:rPr>
          <w:rFonts w:ascii="Times New Roman" w:hAnsi="Times New Roman" w:cs="Times New Roman"/>
          <w:color w:val="000000" w:themeColor="text1"/>
          <w:sz w:val="24"/>
          <w:szCs w:val="24"/>
        </w:rPr>
        <w:t xml:space="preserve"> (</w:t>
      </w:r>
      <w:proofErr w:type="spellStart"/>
      <w:r w:rsidR="0024373E" w:rsidRPr="000F7038">
        <w:rPr>
          <w:rFonts w:ascii="Times New Roman" w:hAnsi="Times New Roman" w:cs="Times New Roman"/>
          <w:color w:val="000000" w:themeColor="text1"/>
          <w:sz w:val="24"/>
          <w:szCs w:val="24"/>
        </w:rPr>
        <w:t>Hadded</w:t>
      </w:r>
      <w:proofErr w:type="spellEnd"/>
      <w:r w:rsidR="0024373E" w:rsidRPr="000F7038">
        <w:rPr>
          <w:rFonts w:ascii="Times New Roman" w:hAnsi="Times New Roman" w:cs="Times New Roman"/>
          <w:color w:val="000000" w:themeColor="text1"/>
          <w:sz w:val="24"/>
          <w:szCs w:val="24"/>
        </w:rPr>
        <w:t xml:space="preserve">, Wassim, </w:t>
      </w:r>
      <w:r w:rsidR="006E01D2" w:rsidRPr="000F7038">
        <w:rPr>
          <w:rFonts w:ascii="Times New Roman" w:hAnsi="Times New Roman" w:cs="Times New Roman"/>
          <w:color w:val="000000" w:themeColor="text1"/>
          <w:sz w:val="24"/>
          <w:szCs w:val="24"/>
        </w:rPr>
        <w:t>&amp;</w:t>
      </w:r>
      <w:r w:rsidR="0024373E" w:rsidRPr="000F7038">
        <w:rPr>
          <w:rFonts w:ascii="Times New Roman" w:hAnsi="Times New Roman" w:cs="Times New Roman"/>
          <w:color w:val="000000" w:themeColor="text1"/>
          <w:sz w:val="24"/>
          <w:szCs w:val="24"/>
        </w:rPr>
        <w:t xml:space="preserve"> </w:t>
      </w:r>
      <w:proofErr w:type="spellStart"/>
      <w:r w:rsidR="0024373E" w:rsidRPr="000F7038">
        <w:rPr>
          <w:rFonts w:ascii="Times New Roman" w:hAnsi="Times New Roman" w:cs="Times New Roman"/>
          <w:color w:val="000000" w:themeColor="text1"/>
          <w:sz w:val="24"/>
          <w:szCs w:val="24"/>
        </w:rPr>
        <w:t>Nobanee</w:t>
      </w:r>
      <w:proofErr w:type="spellEnd"/>
      <w:r w:rsidR="0024373E" w:rsidRPr="000F7038">
        <w:rPr>
          <w:rFonts w:ascii="Times New Roman" w:hAnsi="Times New Roman" w:cs="Times New Roman"/>
          <w:color w:val="000000" w:themeColor="text1"/>
          <w:sz w:val="24"/>
          <w:szCs w:val="24"/>
        </w:rPr>
        <w:t xml:space="preserve"> 2009).</w:t>
      </w:r>
    </w:p>
    <w:p w14:paraId="474C966E" w14:textId="2BD8A6BD" w:rsidR="00E410C2" w:rsidRPr="000F7038" w:rsidRDefault="00E410C2" w:rsidP="006E01D2">
      <w:pPr>
        <w:pStyle w:val="ListParagraph"/>
        <w:spacing w:after="0" w:line="240" w:lineRule="auto"/>
        <w:ind w:left="0" w:firstLine="72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Nagar, Schoenfeld and Wellman (2017) which </w:t>
      </w:r>
      <w:r w:rsidR="00383B6A" w:rsidRPr="000F7038">
        <w:rPr>
          <w:rFonts w:ascii="Times New Roman" w:hAnsi="Times New Roman" w:cs="Times New Roman"/>
          <w:color w:val="000000" w:themeColor="text1"/>
          <w:sz w:val="24"/>
          <w:szCs w:val="24"/>
        </w:rPr>
        <w:t>investigate</w:t>
      </w:r>
      <w:r w:rsidRPr="000F7038">
        <w:rPr>
          <w:rFonts w:ascii="Times New Roman" w:hAnsi="Times New Roman" w:cs="Times New Roman"/>
          <w:color w:val="000000" w:themeColor="text1"/>
          <w:sz w:val="24"/>
          <w:szCs w:val="24"/>
        </w:rPr>
        <w:t xml:space="preserve"> </w:t>
      </w:r>
      <w:r w:rsidR="008546D5" w:rsidRPr="000F7038">
        <w:rPr>
          <w:rFonts w:ascii="Times New Roman" w:hAnsi="Times New Roman" w:cs="Times New Roman"/>
          <w:color w:val="000000" w:themeColor="text1"/>
          <w:sz w:val="24"/>
          <w:szCs w:val="24"/>
        </w:rPr>
        <w:t>the</w:t>
      </w:r>
      <w:r w:rsidRPr="000F7038">
        <w:rPr>
          <w:rFonts w:ascii="Times New Roman" w:hAnsi="Times New Roman" w:cs="Times New Roman"/>
          <w:color w:val="000000" w:themeColor="text1"/>
          <w:sz w:val="24"/>
          <w:szCs w:val="24"/>
        </w:rPr>
        <w:t xml:space="preserve"> increased economic policy uncertainty was associated increase in firms’ bid-ask spreads and illiquidity which </w:t>
      </w:r>
      <w:r w:rsidRPr="000F7038">
        <w:rPr>
          <w:rFonts w:ascii="Times New Roman" w:hAnsi="Times New Roman" w:cs="Times New Roman"/>
          <w:color w:val="000000" w:themeColor="text1"/>
          <w:sz w:val="24"/>
          <w:szCs w:val="24"/>
        </w:rPr>
        <w:lastRenderedPageBreak/>
        <w:t xml:space="preserve">decreased stock liquidity especially for firms more exposed to economic policy uncertainty. Next, Schoenfeld (2017) </w:t>
      </w:r>
      <w:r w:rsidR="000D368E" w:rsidRPr="000F7038">
        <w:rPr>
          <w:rFonts w:ascii="Times New Roman" w:hAnsi="Times New Roman" w:cs="Times New Roman"/>
          <w:color w:val="000000" w:themeColor="text1"/>
          <w:sz w:val="24"/>
          <w:szCs w:val="24"/>
        </w:rPr>
        <w:t>found</w:t>
      </w:r>
      <w:r w:rsidRPr="000F7038">
        <w:rPr>
          <w:rFonts w:ascii="Times New Roman" w:hAnsi="Times New Roman" w:cs="Times New Roman"/>
          <w:color w:val="000000" w:themeColor="text1"/>
          <w:sz w:val="24"/>
          <w:szCs w:val="24"/>
        </w:rPr>
        <w:t xml:space="preserve"> that </w:t>
      </w:r>
      <w:r w:rsidR="000E2646" w:rsidRPr="000F7038">
        <w:rPr>
          <w:rFonts w:ascii="Times New Roman" w:hAnsi="Times New Roman" w:cs="Times New Roman"/>
          <w:color w:val="000000" w:themeColor="text1"/>
          <w:sz w:val="24"/>
          <w:szCs w:val="24"/>
        </w:rPr>
        <w:t>the</w:t>
      </w:r>
      <w:r w:rsidRPr="000F7038">
        <w:rPr>
          <w:rFonts w:ascii="Times New Roman" w:hAnsi="Times New Roman" w:cs="Times New Roman"/>
          <w:color w:val="000000" w:themeColor="text1"/>
          <w:sz w:val="24"/>
          <w:szCs w:val="24"/>
        </w:rPr>
        <w:t xml:space="preserve"> information asymmetry among traders was affected by </w:t>
      </w:r>
      <w:r w:rsidR="000D368E" w:rsidRPr="000F7038">
        <w:rPr>
          <w:rFonts w:ascii="Times New Roman" w:hAnsi="Times New Roman" w:cs="Times New Roman"/>
          <w:color w:val="000000" w:themeColor="text1"/>
          <w:sz w:val="24"/>
          <w:szCs w:val="24"/>
        </w:rPr>
        <w:t xml:space="preserve">the </w:t>
      </w:r>
      <w:r w:rsidRPr="000F7038">
        <w:rPr>
          <w:rFonts w:ascii="Times New Roman" w:hAnsi="Times New Roman" w:cs="Times New Roman"/>
          <w:color w:val="000000" w:themeColor="text1"/>
          <w:sz w:val="24"/>
          <w:szCs w:val="24"/>
        </w:rPr>
        <w:t xml:space="preserve">voluntary disclosure. Thus, voluntary disclosure </w:t>
      </w:r>
      <w:r w:rsidR="008546D5" w:rsidRPr="000F7038">
        <w:rPr>
          <w:rFonts w:ascii="Times New Roman" w:hAnsi="Times New Roman" w:cs="Times New Roman"/>
          <w:color w:val="000000" w:themeColor="text1"/>
          <w:sz w:val="24"/>
          <w:szCs w:val="24"/>
        </w:rPr>
        <w:t>enhances</w:t>
      </w:r>
      <w:r w:rsidRPr="000F7038">
        <w:rPr>
          <w:rFonts w:ascii="Times New Roman" w:hAnsi="Times New Roman" w:cs="Times New Roman"/>
          <w:color w:val="000000" w:themeColor="text1"/>
          <w:sz w:val="24"/>
          <w:szCs w:val="24"/>
        </w:rPr>
        <w:t xml:space="preserve"> with the level of index fund ownership which increase in disclosure and stock liquidity.  </w:t>
      </w:r>
      <w:proofErr w:type="spellStart"/>
      <w:r w:rsidRPr="000F7038">
        <w:rPr>
          <w:rFonts w:ascii="Times New Roman" w:hAnsi="Times New Roman" w:cs="Times New Roman"/>
          <w:color w:val="000000" w:themeColor="text1"/>
          <w:sz w:val="24"/>
          <w:szCs w:val="24"/>
        </w:rPr>
        <w:t>Akrouta</w:t>
      </w:r>
      <w:proofErr w:type="spellEnd"/>
      <w:r w:rsidRPr="000F7038">
        <w:rPr>
          <w:rFonts w:ascii="Times New Roman" w:hAnsi="Times New Roman" w:cs="Times New Roman"/>
          <w:color w:val="000000" w:themeColor="text1"/>
          <w:sz w:val="24"/>
          <w:szCs w:val="24"/>
        </w:rPr>
        <w:t xml:space="preserve"> and Othman (2015) stated that the increasing of liquidity in stock market that cause by the higher level of environmental disclosure that show in the annual report which reduced the spread between bid and ask prices. However, environmental information in MENA </w:t>
      </w:r>
      <w:r w:rsidR="0093130B" w:rsidRPr="000F7038">
        <w:rPr>
          <w:rFonts w:ascii="Times New Roman" w:hAnsi="Times New Roman" w:cs="Times New Roman"/>
          <w:color w:val="000000" w:themeColor="text1"/>
          <w:sz w:val="24"/>
          <w:szCs w:val="24"/>
        </w:rPr>
        <w:t xml:space="preserve">listed </w:t>
      </w:r>
      <w:r w:rsidRPr="000F7038">
        <w:rPr>
          <w:rFonts w:ascii="Times New Roman" w:hAnsi="Times New Roman" w:cs="Times New Roman"/>
          <w:color w:val="000000" w:themeColor="text1"/>
          <w:sz w:val="24"/>
          <w:szCs w:val="24"/>
        </w:rPr>
        <w:t>compan</w:t>
      </w:r>
      <w:r w:rsidR="0093130B" w:rsidRPr="000F7038">
        <w:rPr>
          <w:rFonts w:ascii="Times New Roman" w:hAnsi="Times New Roman" w:cs="Times New Roman"/>
          <w:color w:val="000000" w:themeColor="text1"/>
          <w:sz w:val="24"/>
          <w:szCs w:val="24"/>
        </w:rPr>
        <w:t>ies</w:t>
      </w:r>
      <w:r w:rsidRPr="000F7038">
        <w:rPr>
          <w:rFonts w:ascii="Times New Roman" w:hAnsi="Times New Roman" w:cs="Times New Roman"/>
          <w:color w:val="000000" w:themeColor="text1"/>
          <w:sz w:val="24"/>
          <w:szCs w:val="24"/>
        </w:rPr>
        <w:t xml:space="preserve"> from polluting sector have low disclosure which indicate decreases in stock market liquidity. </w:t>
      </w:r>
    </w:p>
    <w:p w14:paraId="41C994B1" w14:textId="721C5FEA" w:rsidR="00E410C2" w:rsidRPr="000F7038" w:rsidRDefault="00E410C2" w:rsidP="006E01D2">
      <w:pPr>
        <w:pStyle w:val="ListParagraph"/>
        <w:spacing w:after="0" w:line="240" w:lineRule="auto"/>
        <w:ind w:left="0" w:firstLine="72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In France, </w:t>
      </w:r>
      <w:proofErr w:type="spellStart"/>
      <w:r w:rsidRPr="000F7038">
        <w:rPr>
          <w:rFonts w:ascii="Times New Roman" w:hAnsi="Times New Roman" w:cs="Times New Roman"/>
          <w:color w:val="000000" w:themeColor="text1"/>
          <w:sz w:val="24"/>
          <w:szCs w:val="24"/>
        </w:rPr>
        <w:t>Ajina</w:t>
      </w:r>
      <w:proofErr w:type="spellEnd"/>
      <w:r w:rsidRPr="000F7038">
        <w:rPr>
          <w:rFonts w:ascii="Times New Roman" w:hAnsi="Times New Roman" w:cs="Times New Roman"/>
          <w:color w:val="000000" w:themeColor="text1"/>
          <w:sz w:val="24"/>
          <w:szCs w:val="24"/>
        </w:rPr>
        <w:t xml:space="preserve">, </w:t>
      </w:r>
      <w:proofErr w:type="spellStart"/>
      <w:r w:rsidRPr="000F7038">
        <w:rPr>
          <w:rFonts w:ascii="Times New Roman" w:hAnsi="Times New Roman" w:cs="Times New Roman"/>
          <w:color w:val="000000" w:themeColor="text1"/>
          <w:sz w:val="24"/>
          <w:szCs w:val="24"/>
        </w:rPr>
        <w:t>Sougner</w:t>
      </w:r>
      <w:proofErr w:type="spellEnd"/>
      <w:r w:rsidRPr="000F7038">
        <w:rPr>
          <w:rFonts w:ascii="Times New Roman" w:hAnsi="Times New Roman" w:cs="Times New Roman"/>
          <w:color w:val="000000" w:themeColor="text1"/>
          <w:sz w:val="24"/>
          <w:szCs w:val="24"/>
        </w:rPr>
        <w:t xml:space="preserve"> and </w:t>
      </w:r>
      <w:proofErr w:type="spellStart"/>
      <w:r w:rsidRPr="000F7038">
        <w:rPr>
          <w:rFonts w:ascii="Times New Roman" w:hAnsi="Times New Roman" w:cs="Times New Roman"/>
          <w:color w:val="000000" w:themeColor="text1"/>
          <w:sz w:val="24"/>
          <w:szCs w:val="24"/>
        </w:rPr>
        <w:t>Lakhal</w:t>
      </w:r>
      <w:proofErr w:type="spellEnd"/>
      <w:r w:rsidRPr="000F7038">
        <w:rPr>
          <w:rFonts w:ascii="Times New Roman" w:hAnsi="Times New Roman" w:cs="Times New Roman"/>
          <w:color w:val="000000" w:themeColor="text1"/>
          <w:sz w:val="24"/>
          <w:szCs w:val="24"/>
        </w:rPr>
        <w:t xml:space="preserve"> (2015) revealed that </w:t>
      </w:r>
      <w:r w:rsidR="000D368E" w:rsidRPr="000F7038">
        <w:rPr>
          <w:rFonts w:ascii="Times New Roman" w:hAnsi="Times New Roman" w:cs="Times New Roman"/>
          <w:color w:val="000000" w:themeColor="text1"/>
          <w:sz w:val="24"/>
          <w:szCs w:val="24"/>
        </w:rPr>
        <w:t xml:space="preserve">the </w:t>
      </w:r>
      <w:r w:rsidRPr="000F7038">
        <w:rPr>
          <w:rFonts w:ascii="Times New Roman" w:hAnsi="Times New Roman" w:cs="Times New Roman"/>
          <w:color w:val="000000" w:themeColor="text1"/>
          <w:sz w:val="24"/>
          <w:szCs w:val="24"/>
        </w:rPr>
        <w:t xml:space="preserve">corporate disclosure in annual reports have positively influences the liquidity of the French market. This indicates that the increasing of trading volume due to the rich-informational environment that enhance the improve of liquidity of stock market. Besides, </w:t>
      </w:r>
      <w:proofErr w:type="spellStart"/>
      <w:r w:rsidRPr="000F7038">
        <w:rPr>
          <w:rFonts w:ascii="Times New Roman" w:hAnsi="Times New Roman" w:cs="Times New Roman"/>
          <w:color w:val="000000" w:themeColor="text1"/>
          <w:sz w:val="24"/>
          <w:szCs w:val="24"/>
        </w:rPr>
        <w:t>Loukil</w:t>
      </w:r>
      <w:proofErr w:type="spellEnd"/>
      <w:r w:rsidRPr="000F7038">
        <w:rPr>
          <w:rFonts w:ascii="Times New Roman" w:hAnsi="Times New Roman" w:cs="Times New Roman"/>
          <w:color w:val="000000" w:themeColor="text1"/>
          <w:sz w:val="24"/>
          <w:szCs w:val="24"/>
        </w:rPr>
        <w:t xml:space="preserve"> and </w:t>
      </w:r>
      <w:proofErr w:type="spellStart"/>
      <w:r w:rsidRPr="000F7038">
        <w:rPr>
          <w:rFonts w:ascii="Times New Roman" w:hAnsi="Times New Roman" w:cs="Times New Roman"/>
          <w:color w:val="000000" w:themeColor="text1"/>
          <w:sz w:val="24"/>
          <w:szCs w:val="24"/>
        </w:rPr>
        <w:t>Yousfi</w:t>
      </w:r>
      <w:proofErr w:type="spellEnd"/>
      <w:r w:rsidRPr="000F7038">
        <w:rPr>
          <w:rFonts w:ascii="Times New Roman" w:hAnsi="Times New Roman" w:cs="Times New Roman"/>
          <w:color w:val="000000" w:themeColor="text1"/>
          <w:sz w:val="24"/>
          <w:szCs w:val="24"/>
        </w:rPr>
        <w:t xml:space="preserve"> (2012) investigated there is no relationship between public and private information </w:t>
      </w:r>
      <w:r w:rsidR="000D368E" w:rsidRPr="000F7038">
        <w:rPr>
          <w:rFonts w:ascii="Times New Roman" w:hAnsi="Times New Roman" w:cs="Times New Roman"/>
          <w:color w:val="000000" w:themeColor="text1"/>
          <w:sz w:val="24"/>
          <w:szCs w:val="24"/>
        </w:rPr>
        <w:t>which</w:t>
      </w:r>
      <w:r w:rsidRPr="000F7038">
        <w:rPr>
          <w:rFonts w:ascii="Times New Roman" w:hAnsi="Times New Roman" w:cs="Times New Roman"/>
          <w:color w:val="000000" w:themeColor="text1"/>
          <w:sz w:val="24"/>
          <w:szCs w:val="24"/>
        </w:rPr>
        <w:t xml:space="preserve"> indicate that public information does not reduce adverse selection problems which consistent with the signalling theory. As founded that Tunisian investors do not rely only on information disclosed in annual reports and firms’ websites to make their investment decisions. This is because information disclosure does not solve information asymmetry. </w:t>
      </w:r>
      <w:r w:rsidR="0093130B" w:rsidRPr="000F7038">
        <w:rPr>
          <w:rFonts w:ascii="Times New Roman" w:hAnsi="Times New Roman" w:cs="Times New Roman"/>
          <w:color w:val="000000" w:themeColor="text1"/>
          <w:sz w:val="24"/>
          <w:szCs w:val="24"/>
        </w:rPr>
        <w:t>T</w:t>
      </w:r>
      <w:r w:rsidRPr="000F7038">
        <w:rPr>
          <w:rFonts w:ascii="Times New Roman" w:hAnsi="Times New Roman" w:cs="Times New Roman"/>
          <w:color w:val="000000" w:themeColor="text1"/>
          <w:sz w:val="24"/>
          <w:szCs w:val="24"/>
        </w:rPr>
        <w:t>he</w:t>
      </w:r>
      <w:r w:rsidR="000D368E" w:rsidRPr="000F7038">
        <w:rPr>
          <w:rFonts w:ascii="Times New Roman" w:hAnsi="Times New Roman" w:cs="Times New Roman"/>
          <w:color w:val="000000" w:themeColor="text1"/>
          <w:sz w:val="24"/>
          <w:szCs w:val="24"/>
        </w:rPr>
        <w:t>ir</w:t>
      </w:r>
      <w:r w:rsidRPr="000F7038">
        <w:rPr>
          <w:rFonts w:ascii="Times New Roman" w:hAnsi="Times New Roman" w:cs="Times New Roman"/>
          <w:color w:val="000000" w:themeColor="text1"/>
          <w:sz w:val="24"/>
          <w:szCs w:val="24"/>
        </w:rPr>
        <w:t xml:space="preserve"> finding</w:t>
      </w:r>
      <w:r w:rsidR="0093130B" w:rsidRPr="000F7038">
        <w:rPr>
          <w:rFonts w:ascii="Times New Roman" w:hAnsi="Times New Roman" w:cs="Times New Roman"/>
          <w:color w:val="000000" w:themeColor="text1"/>
          <w:sz w:val="24"/>
          <w:szCs w:val="24"/>
        </w:rPr>
        <w:t xml:space="preserve"> is not c</w:t>
      </w:r>
      <w:r w:rsidRPr="000F7038">
        <w:rPr>
          <w:rFonts w:ascii="Times New Roman" w:hAnsi="Times New Roman" w:cs="Times New Roman"/>
          <w:color w:val="000000" w:themeColor="text1"/>
          <w:sz w:val="24"/>
          <w:szCs w:val="24"/>
        </w:rPr>
        <w:t xml:space="preserve">onsistent with the signalling theory but confirms the predictions of </w:t>
      </w:r>
      <w:proofErr w:type="spellStart"/>
      <w:r w:rsidRPr="000F7038">
        <w:rPr>
          <w:rFonts w:ascii="Times New Roman" w:hAnsi="Times New Roman" w:cs="Times New Roman"/>
          <w:color w:val="000000" w:themeColor="text1"/>
          <w:sz w:val="24"/>
          <w:szCs w:val="24"/>
        </w:rPr>
        <w:t>behavioral</w:t>
      </w:r>
      <w:proofErr w:type="spellEnd"/>
      <w:r w:rsidRPr="000F7038">
        <w:rPr>
          <w:rFonts w:ascii="Times New Roman" w:hAnsi="Times New Roman" w:cs="Times New Roman"/>
          <w:color w:val="000000" w:themeColor="text1"/>
          <w:sz w:val="24"/>
          <w:szCs w:val="24"/>
        </w:rPr>
        <w:t xml:space="preserve"> finance theory. </w:t>
      </w:r>
    </w:p>
    <w:p w14:paraId="5FA546B8" w14:textId="49B9450C" w:rsidR="00E410C2" w:rsidRPr="000F7038" w:rsidRDefault="004E3A9D" w:rsidP="006E01D2">
      <w:pPr>
        <w:pStyle w:val="ListParagraph"/>
        <w:spacing w:after="0" w:line="240" w:lineRule="auto"/>
        <w:ind w:left="0" w:firstLine="72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In </w:t>
      </w:r>
      <w:r w:rsidR="00E410C2" w:rsidRPr="000F7038">
        <w:rPr>
          <w:rFonts w:ascii="Times New Roman" w:hAnsi="Times New Roman" w:cs="Times New Roman"/>
          <w:color w:val="000000" w:themeColor="text1"/>
          <w:sz w:val="24"/>
          <w:szCs w:val="24"/>
        </w:rPr>
        <w:t xml:space="preserve">Jordan, </w:t>
      </w:r>
      <w:proofErr w:type="spellStart"/>
      <w:r w:rsidR="00E410C2" w:rsidRPr="000F7038">
        <w:rPr>
          <w:rFonts w:ascii="Times New Roman" w:hAnsi="Times New Roman" w:cs="Times New Roman"/>
          <w:color w:val="000000" w:themeColor="text1"/>
          <w:sz w:val="24"/>
          <w:szCs w:val="24"/>
        </w:rPr>
        <w:t>Hadded</w:t>
      </w:r>
      <w:proofErr w:type="spellEnd"/>
      <w:r w:rsidR="00E410C2" w:rsidRPr="000F7038">
        <w:rPr>
          <w:rFonts w:ascii="Times New Roman" w:hAnsi="Times New Roman" w:cs="Times New Roman"/>
          <w:color w:val="000000" w:themeColor="text1"/>
          <w:sz w:val="24"/>
          <w:szCs w:val="24"/>
        </w:rPr>
        <w:t xml:space="preserve">, Wassim and </w:t>
      </w:r>
      <w:proofErr w:type="spellStart"/>
      <w:r w:rsidR="00E410C2" w:rsidRPr="000F7038">
        <w:rPr>
          <w:rFonts w:ascii="Times New Roman" w:hAnsi="Times New Roman" w:cs="Times New Roman"/>
          <w:color w:val="000000" w:themeColor="text1"/>
          <w:sz w:val="24"/>
          <w:szCs w:val="24"/>
        </w:rPr>
        <w:t>Nobanee</w:t>
      </w:r>
      <w:proofErr w:type="spellEnd"/>
      <w:r w:rsidR="00E410C2" w:rsidRPr="000F7038">
        <w:rPr>
          <w:rFonts w:ascii="Times New Roman" w:hAnsi="Times New Roman" w:cs="Times New Roman"/>
          <w:color w:val="000000" w:themeColor="text1"/>
          <w:sz w:val="24"/>
          <w:szCs w:val="24"/>
        </w:rPr>
        <w:t xml:space="preserve"> (2009) found that that voluntary disclosure had </w:t>
      </w:r>
      <w:r w:rsidR="0093130B" w:rsidRPr="000F7038">
        <w:rPr>
          <w:rFonts w:ascii="Times New Roman" w:hAnsi="Times New Roman" w:cs="Times New Roman"/>
          <w:color w:val="000000" w:themeColor="text1"/>
          <w:sz w:val="24"/>
          <w:szCs w:val="24"/>
        </w:rPr>
        <w:t xml:space="preserve">significant </w:t>
      </w:r>
      <w:r w:rsidR="00E410C2" w:rsidRPr="000F7038">
        <w:rPr>
          <w:rFonts w:ascii="Times New Roman" w:hAnsi="Times New Roman" w:cs="Times New Roman"/>
          <w:color w:val="000000" w:themeColor="text1"/>
          <w:sz w:val="24"/>
          <w:szCs w:val="24"/>
        </w:rPr>
        <w:t xml:space="preserve">positive </w:t>
      </w:r>
      <w:r w:rsidR="0093130B" w:rsidRPr="000F7038">
        <w:rPr>
          <w:rFonts w:ascii="Times New Roman" w:hAnsi="Times New Roman" w:cs="Times New Roman"/>
          <w:color w:val="000000" w:themeColor="text1"/>
          <w:sz w:val="24"/>
          <w:szCs w:val="24"/>
        </w:rPr>
        <w:t>relationship</w:t>
      </w:r>
      <w:r w:rsidR="00E410C2" w:rsidRPr="000F7038">
        <w:rPr>
          <w:rFonts w:ascii="Times New Roman" w:hAnsi="Times New Roman" w:cs="Times New Roman"/>
          <w:color w:val="000000" w:themeColor="text1"/>
          <w:sz w:val="24"/>
          <w:szCs w:val="24"/>
        </w:rPr>
        <w:t xml:space="preserve"> on the stock market liquidity</w:t>
      </w:r>
      <w:r w:rsidR="00651867" w:rsidRPr="000F7038">
        <w:rPr>
          <w:rFonts w:ascii="Times New Roman" w:hAnsi="Times New Roman" w:cs="Times New Roman"/>
          <w:color w:val="000000" w:themeColor="text1"/>
          <w:sz w:val="24"/>
          <w:szCs w:val="24"/>
        </w:rPr>
        <w:t xml:space="preserve"> of </w:t>
      </w:r>
      <w:r w:rsidR="00E410C2" w:rsidRPr="000F7038">
        <w:rPr>
          <w:rFonts w:ascii="Times New Roman" w:hAnsi="Times New Roman" w:cs="Times New Roman"/>
          <w:color w:val="000000" w:themeColor="text1"/>
          <w:sz w:val="24"/>
          <w:szCs w:val="24"/>
        </w:rPr>
        <w:t>publicly traded industrial and services companies. Thus, the applicability of signalling theory in the context of the Arab financial market could supporting the result that found in this research</w:t>
      </w:r>
      <w:r w:rsidR="00214C58" w:rsidRPr="000F7038">
        <w:rPr>
          <w:rFonts w:ascii="Times New Roman" w:hAnsi="Times New Roman" w:cs="Times New Roman"/>
          <w:color w:val="000000" w:themeColor="text1"/>
          <w:sz w:val="24"/>
          <w:szCs w:val="24"/>
        </w:rPr>
        <w:t xml:space="preserve">. </w:t>
      </w:r>
      <w:r w:rsidR="00E410C2" w:rsidRPr="000F7038">
        <w:rPr>
          <w:rFonts w:ascii="Times New Roman" w:hAnsi="Times New Roman" w:cs="Times New Roman"/>
          <w:color w:val="000000" w:themeColor="text1"/>
          <w:sz w:val="24"/>
          <w:szCs w:val="24"/>
        </w:rPr>
        <w:t>Moreover, E</w:t>
      </w:r>
      <w:r w:rsidRPr="000F7038">
        <w:rPr>
          <w:rFonts w:ascii="Times New Roman" w:hAnsi="Times New Roman" w:cs="Times New Roman"/>
          <w:color w:val="000000" w:themeColor="text1"/>
          <w:sz w:val="24"/>
          <w:szCs w:val="24"/>
        </w:rPr>
        <w:t>s</w:t>
      </w:r>
      <w:r w:rsidR="00E410C2" w:rsidRPr="000F7038">
        <w:rPr>
          <w:rFonts w:ascii="Times New Roman" w:hAnsi="Times New Roman" w:cs="Times New Roman"/>
          <w:color w:val="000000" w:themeColor="text1"/>
          <w:sz w:val="24"/>
          <w:szCs w:val="24"/>
        </w:rPr>
        <w:t>pinosa, Tapia</w:t>
      </w:r>
      <w:r w:rsidR="00390BB8" w:rsidRPr="000F7038">
        <w:rPr>
          <w:rFonts w:ascii="Times New Roman" w:hAnsi="Times New Roman" w:cs="Times New Roman"/>
          <w:color w:val="000000" w:themeColor="text1"/>
          <w:sz w:val="24"/>
          <w:szCs w:val="24"/>
        </w:rPr>
        <w:t xml:space="preserve"> and</w:t>
      </w:r>
      <w:r w:rsidR="00E410C2" w:rsidRPr="000F7038">
        <w:rPr>
          <w:rFonts w:ascii="Times New Roman" w:hAnsi="Times New Roman" w:cs="Times New Roman"/>
          <w:color w:val="000000" w:themeColor="text1"/>
          <w:sz w:val="24"/>
          <w:szCs w:val="24"/>
        </w:rPr>
        <w:t xml:space="preserve"> </w:t>
      </w:r>
      <w:proofErr w:type="spellStart"/>
      <w:r w:rsidR="00E410C2" w:rsidRPr="000F7038">
        <w:rPr>
          <w:rFonts w:ascii="Times New Roman" w:hAnsi="Times New Roman" w:cs="Times New Roman"/>
          <w:color w:val="000000" w:themeColor="text1"/>
          <w:sz w:val="24"/>
          <w:szCs w:val="24"/>
        </w:rPr>
        <w:t>Trombetta</w:t>
      </w:r>
      <w:proofErr w:type="spellEnd"/>
      <w:r w:rsidR="00E410C2" w:rsidRPr="000F7038">
        <w:rPr>
          <w:rFonts w:ascii="Times New Roman" w:hAnsi="Times New Roman" w:cs="Times New Roman"/>
          <w:color w:val="000000" w:themeColor="text1"/>
          <w:sz w:val="24"/>
          <w:szCs w:val="24"/>
        </w:rPr>
        <w:t xml:space="preserve"> (2005) revealed that disclosure have positive affect on market liquidity when control for trade size.  This is because when the more the disclosure by the firm will enhance liquidity</w:t>
      </w:r>
      <w:r w:rsidR="00651867" w:rsidRPr="000F7038">
        <w:rPr>
          <w:rFonts w:ascii="Times New Roman" w:hAnsi="Times New Roman" w:cs="Times New Roman"/>
          <w:color w:val="000000" w:themeColor="text1"/>
          <w:sz w:val="24"/>
          <w:szCs w:val="24"/>
        </w:rPr>
        <w:t xml:space="preserve">. </w:t>
      </w:r>
      <w:r w:rsidR="00E410C2" w:rsidRPr="000F7038">
        <w:rPr>
          <w:rFonts w:ascii="Times New Roman" w:hAnsi="Times New Roman" w:cs="Times New Roman"/>
          <w:color w:val="000000" w:themeColor="text1"/>
          <w:sz w:val="24"/>
          <w:szCs w:val="24"/>
        </w:rPr>
        <w:t>The effect on spread and depth have statistically significant but depth not always statistically significant. The results were line with the findings of Heflin</w:t>
      </w:r>
      <w:r w:rsidR="006A61AE" w:rsidRPr="000F7038">
        <w:rPr>
          <w:rFonts w:ascii="Times New Roman" w:hAnsi="Times New Roman" w:cs="Times New Roman"/>
          <w:color w:val="000000" w:themeColor="text1"/>
          <w:sz w:val="24"/>
          <w:szCs w:val="24"/>
        </w:rPr>
        <w:t xml:space="preserve"> et al. (2005)</w:t>
      </w:r>
      <w:r w:rsidR="00E410C2" w:rsidRPr="000F7038">
        <w:rPr>
          <w:rFonts w:ascii="Times New Roman" w:hAnsi="Times New Roman" w:cs="Times New Roman"/>
          <w:color w:val="000000" w:themeColor="text1"/>
          <w:sz w:val="24"/>
          <w:szCs w:val="24"/>
        </w:rPr>
        <w:t xml:space="preserve">. </w:t>
      </w:r>
      <w:proofErr w:type="spellStart"/>
      <w:r w:rsidR="00E410C2" w:rsidRPr="000F7038">
        <w:rPr>
          <w:rFonts w:ascii="Times New Roman" w:hAnsi="Times New Roman" w:cs="Times New Roman"/>
          <w:color w:val="000000" w:themeColor="text1"/>
          <w:sz w:val="24"/>
          <w:szCs w:val="24"/>
        </w:rPr>
        <w:t>Amihud</w:t>
      </w:r>
      <w:proofErr w:type="spellEnd"/>
      <w:r w:rsidR="00E410C2" w:rsidRPr="000F7038">
        <w:rPr>
          <w:rFonts w:ascii="Times New Roman" w:hAnsi="Times New Roman" w:cs="Times New Roman"/>
          <w:color w:val="000000" w:themeColor="text1"/>
          <w:sz w:val="24"/>
          <w:szCs w:val="24"/>
        </w:rPr>
        <w:t xml:space="preserve"> (2002) illiquidity measure</w:t>
      </w:r>
      <w:r w:rsidR="0093130B" w:rsidRPr="000F7038">
        <w:rPr>
          <w:rFonts w:ascii="Times New Roman" w:hAnsi="Times New Roman" w:cs="Times New Roman"/>
          <w:color w:val="000000" w:themeColor="text1"/>
          <w:sz w:val="24"/>
          <w:szCs w:val="24"/>
        </w:rPr>
        <w:t>d</w:t>
      </w:r>
      <w:r w:rsidR="00E410C2" w:rsidRPr="000F7038">
        <w:rPr>
          <w:rFonts w:ascii="Times New Roman" w:hAnsi="Times New Roman" w:cs="Times New Roman"/>
          <w:color w:val="000000" w:themeColor="text1"/>
          <w:sz w:val="24"/>
          <w:szCs w:val="24"/>
        </w:rPr>
        <w:t xml:space="preserve"> as another parsimonious way of reconciling the multidimensional problem in terms of spread and depth and conclude</w:t>
      </w:r>
      <w:r w:rsidR="0093130B" w:rsidRPr="000F7038">
        <w:rPr>
          <w:rFonts w:ascii="Times New Roman" w:hAnsi="Times New Roman" w:cs="Times New Roman"/>
          <w:color w:val="000000" w:themeColor="text1"/>
          <w:sz w:val="24"/>
          <w:szCs w:val="24"/>
        </w:rPr>
        <w:t>d</w:t>
      </w:r>
      <w:r w:rsidR="00E410C2" w:rsidRPr="000F7038">
        <w:rPr>
          <w:rFonts w:ascii="Times New Roman" w:hAnsi="Times New Roman" w:cs="Times New Roman"/>
          <w:color w:val="000000" w:themeColor="text1"/>
          <w:sz w:val="24"/>
          <w:szCs w:val="24"/>
        </w:rPr>
        <w:t xml:space="preserve"> that disclosure has a positive effect on liquidity. The researcher investigated to offer more evidence on the relationship between accounting disclosure quality, market liquidity, and transaction costs. As results shows that the companies with higher quality disclosures have lower effective bid-ask spreads and lower adverse selection spread components.  </w:t>
      </w:r>
    </w:p>
    <w:p w14:paraId="414F9062" w14:textId="011D049D" w:rsidR="00390BB8" w:rsidRPr="000F7038" w:rsidRDefault="00214C58" w:rsidP="006E01D2">
      <w:pPr>
        <w:pStyle w:val="ListParagraph"/>
        <w:spacing w:after="0" w:line="240" w:lineRule="auto"/>
        <w:ind w:left="0" w:firstLine="72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Based on the above literature review, most of the studies claimed that the </w:t>
      </w:r>
      <w:r w:rsidR="000B70E2" w:rsidRPr="000F7038">
        <w:rPr>
          <w:rFonts w:ascii="Times New Roman" w:hAnsi="Times New Roman" w:cs="Times New Roman"/>
          <w:color w:val="000000" w:themeColor="text1"/>
          <w:sz w:val="24"/>
          <w:szCs w:val="24"/>
        </w:rPr>
        <w:t>environmental</w:t>
      </w:r>
      <w:r w:rsidRPr="000F7038">
        <w:rPr>
          <w:rFonts w:ascii="Times New Roman" w:hAnsi="Times New Roman" w:cs="Times New Roman"/>
          <w:color w:val="000000" w:themeColor="text1"/>
          <w:sz w:val="24"/>
          <w:szCs w:val="24"/>
        </w:rPr>
        <w:t xml:space="preserve"> disclosure and </w:t>
      </w:r>
      <w:r w:rsidR="000B70E2" w:rsidRPr="000F7038">
        <w:rPr>
          <w:rFonts w:ascii="Times New Roman" w:hAnsi="Times New Roman" w:cs="Times New Roman"/>
          <w:color w:val="000000" w:themeColor="text1"/>
          <w:sz w:val="24"/>
          <w:szCs w:val="24"/>
        </w:rPr>
        <w:t>stock market liquidity</w:t>
      </w:r>
      <w:r w:rsidRPr="000F7038">
        <w:rPr>
          <w:rFonts w:ascii="Times New Roman" w:hAnsi="Times New Roman" w:cs="Times New Roman"/>
          <w:color w:val="000000" w:themeColor="text1"/>
          <w:sz w:val="24"/>
          <w:szCs w:val="24"/>
        </w:rPr>
        <w:t xml:space="preserve"> has a positive relationship (such as </w:t>
      </w:r>
      <w:r w:rsidR="00390BB8" w:rsidRPr="000F7038">
        <w:rPr>
          <w:rFonts w:ascii="Times New Roman" w:hAnsi="Times New Roman" w:cs="Times New Roman"/>
          <w:color w:val="000000" w:themeColor="text1"/>
          <w:sz w:val="24"/>
          <w:szCs w:val="24"/>
        </w:rPr>
        <w:t>E</w:t>
      </w:r>
      <w:r w:rsidR="004E3A9D" w:rsidRPr="000F7038">
        <w:rPr>
          <w:rFonts w:ascii="Times New Roman" w:hAnsi="Times New Roman" w:cs="Times New Roman"/>
          <w:color w:val="000000" w:themeColor="text1"/>
          <w:sz w:val="24"/>
          <w:szCs w:val="24"/>
        </w:rPr>
        <w:t>s</w:t>
      </w:r>
      <w:r w:rsidR="00390BB8" w:rsidRPr="000F7038">
        <w:rPr>
          <w:rFonts w:ascii="Times New Roman" w:hAnsi="Times New Roman" w:cs="Times New Roman"/>
          <w:color w:val="000000" w:themeColor="text1"/>
          <w:sz w:val="24"/>
          <w:szCs w:val="24"/>
        </w:rPr>
        <w:t xml:space="preserve">pinosa, Tapia </w:t>
      </w:r>
      <w:r w:rsidR="006E01D2" w:rsidRPr="000F7038">
        <w:rPr>
          <w:rFonts w:ascii="Times New Roman" w:hAnsi="Times New Roman" w:cs="Times New Roman"/>
          <w:color w:val="000000" w:themeColor="text1"/>
          <w:sz w:val="24"/>
          <w:szCs w:val="24"/>
        </w:rPr>
        <w:t>&amp;</w:t>
      </w:r>
      <w:r w:rsidR="00390BB8" w:rsidRPr="000F7038">
        <w:rPr>
          <w:rFonts w:ascii="Times New Roman" w:hAnsi="Times New Roman" w:cs="Times New Roman"/>
          <w:color w:val="000000" w:themeColor="text1"/>
          <w:sz w:val="24"/>
          <w:szCs w:val="24"/>
        </w:rPr>
        <w:t xml:space="preserve"> </w:t>
      </w:r>
      <w:proofErr w:type="spellStart"/>
      <w:r w:rsidR="00390BB8" w:rsidRPr="000F7038">
        <w:rPr>
          <w:rFonts w:ascii="Times New Roman" w:hAnsi="Times New Roman" w:cs="Times New Roman"/>
          <w:color w:val="000000" w:themeColor="text1"/>
          <w:sz w:val="24"/>
          <w:szCs w:val="24"/>
        </w:rPr>
        <w:t>Trombetta</w:t>
      </w:r>
      <w:proofErr w:type="spellEnd"/>
      <w:r w:rsidR="00390BB8" w:rsidRPr="000F7038">
        <w:rPr>
          <w:rFonts w:ascii="Times New Roman" w:hAnsi="Times New Roman" w:cs="Times New Roman"/>
          <w:color w:val="000000" w:themeColor="text1"/>
          <w:sz w:val="24"/>
          <w:szCs w:val="24"/>
        </w:rPr>
        <w:t xml:space="preserve">, 2005; </w:t>
      </w:r>
      <w:proofErr w:type="spellStart"/>
      <w:r w:rsidR="00390BB8" w:rsidRPr="000F7038">
        <w:rPr>
          <w:rFonts w:ascii="Times New Roman" w:hAnsi="Times New Roman" w:cs="Times New Roman"/>
          <w:color w:val="000000" w:themeColor="text1"/>
          <w:sz w:val="24"/>
          <w:szCs w:val="24"/>
        </w:rPr>
        <w:t>Hadded</w:t>
      </w:r>
      <w:proofErr w:type="spellEnd"/>
      <w:r w:rsidR="00390BB8" w:rsidRPr="000F7038">
        <w:rPr>
          <w:rFonts w:ascii="Times New Roman" w:hAnsi="Times New Roman" w:cs="Times New Roman"/>
          <w:color w:val="000000" w:themeColor="text1"/>
          <w:sz w:val="24"/>
          <w:szCs w:val="24"/>
        </w:rPr>
        <w:t xml:space="preserve">, Wassim </w:t>
      </w:r>
      <w:r w:rsidR="006E01D2" w:rsidRPr="000F7038">
        <w:rPr>
          <w:rFonts w:ascii="Times New Roman" w:hAnsi="Times New Roman" w:cs="Times New Roman"/>
          <w:color w:val="000000" w:themeColor="text1"/>
          <w:sz w:val="24"/>
          <w:szCs w:val="24"/>
        </w:rPr>
        <w:t>&amp;</w:t>
      </w:r>
      <w:r w:rsidR="00390BB8" w:rsidRPr="000F7038">
        <w:rPr>
          <w:rFonts w:ascii="Times New Roman" w:hAnsi="Times New Roman" w:cs="Times New Roman"/>
          <w:color w:val="000000" w:themeColor="text1"/>
          <w:sz w:val="24"/>
          <w:szCs w:val="24"/>
        </w:rPr>
        <w:t xml:space="preserve"> </w:t>
      </w:r>
      <w:proofErr w:type="spellStart"/>
      <w:r w:rsidR="00390BB8" w:rsidRPr="000F7038">
        <w:rPr>
          <w:rFonts w:ascii="Times New Roman" w:hAnsi="Times New Roman" w:cs="Times New Roman"/>
          <w:color w:val="000000" w:themeColor="text1"/>
          <w:sz w:val="24"/>
          <w:szCs w:val="24"/>
        </w:rPr>
        <w:t>Nobanee</w:t>
      </w:r>
      <w:proofErr w:type="spellEnd"/>
      <w:r w:rsidRPr="000F7038">
        <w:rPr>
          <w:rFonts w:ascii="Times New Roman" w:hAnsi="Times New Roman" w:cs="Times New Roman"/>
          <w:color w:val="000000" w:themeColor="text1"/>
          <w:sz w:val="24"/>
          <w:szCs w:val="24"/>
        </w:rPr>
        <w:t>, 200</w:t>
      </w:r>
      <w:r w:rsidR="00390BB8" w:rsidRPr="000F7038">
        <w:rPr>
          <w:rFonts w:ascii="Times New Roman" w:hAnsi="Times New Roman" w:cs="Times New Roman"/>
          <w:color w:val="000000" w:themeColor="text1"/>
          <w:sz w:val="24"/>
          <w:szCs w:val="24"/>
        </w:rPr>
        <w:t>9</w:t>
      </w:r>
      <w:r w:rsidRPr="000F7038">
        <w:rPr>
          <w:rFonts w:ascii="Times New Roman" w:hAnsi="Times New Roman" w:cs="Times New Roman"/>
          <w:color w:val="000000" w:themeColor="text1"/>
          <w:sz w:val="24"/>
          <w:szCs w:val="24"/>
        </w:rPr>
        <w:t>;</w:t>
      </w:r>
      <w:r w:rsidR="00390BB8" w:rsidRPr="000F7038">
        <w:rPr>
          <w:rFonts w:ascii="Times New Roman" w:hAnsi="Times New Roman" w:cs="Times New Roman"/>
          <w:color w:val="000000" w:themeColor="text1"/>
          <w:sz w:val="24"/>
          <w:szCs w:val="24"/>
        </w:rPr>
        <w:t xml:space="preserve"> </w:t>
      </w:r>
      <w:proofErr w:type="spellStart"/>
      <w:r w:rsidR="00390BB8" w:rsidRPr="000F7038">
        <w:rPr>
          <w:rFonts w:ascii="Times New Roman" w:hAnsi="Times New Roman" w:cs="Times New Roman"/>
          <w:color w:val="000000" w:themeColor="text1"/>
          <w:sz w:val="24"/>
          <w:szCs w:val="24"/>
        </w:rPr>
        <w:t>Ajina</w:t>
      </w:r>
      <w:proofErr w:type="spellEnd"/>
      <w:r w:rsidR="00390BB8" w:rsidRPr="000F7038">
        <w:rPr>
          <w:rFonts w:ascii="Times New Roman" w:hAnsi="Times New Roman" w:cs="Times New Roman"/>
          <w:color w:val="000000" w:themeColor="text1"/>
          <w:sz w:val="24"/>
          <w:szCs w:val="24"/>
        </w:rPr>
        <w:t xml:space="preserve">, </w:t>
      </w:r>
      <w:proofErr w:type="spellStart"/>
      <w:r w:rsidR="00390BB8" w:rsidRPr="000F7038">
        <w:rPr>
          <w:rFonts w:ascii="Times New Roman" w:hAnsi="Times New Roman" w:cs="Times New Roman"/>
          <w:color w:val="000000" w:themeColor="text1"/>
          <w:sz w:val="24"/>
          <w:szCs w:val="24"/>
        </w:rPr>
        <w:t>Sougner</w:t>
      </w:r>
      <w:proofErr w:type="spellEnd"/>
      <w:r w:rsidR="00390BB8" w:rsidRPr="000F7038">
        <w:rPr>
          <w:rFonts w:ascii="Times New Roman" w:hAnsi="Times New Roman" w:cs="Times New Roman"/>
          <w:color w:val="000000" w:themeColor="text1"/>
          <w:sz w:val="24"/>
          <w:szCs w:val="24"/>
        </w:rPr>
        <w:t xml:space="preserve"> </w:t>
      </w:r>
      <w:r w:rsidR="006E01D2" w:rsidRPr="000F7038">
        <w:rPr>
          <w:rFonts w:ascii="Times New Roman" w:hAnsi="Times New Roman" w:cs="Times New Roman"/>
          <w:color w:val="000000" w:themeColor="text1"/>
          <w:sz w:val="24"/>
          <w:szCs w:val="24"/>
        </w:rPr>
        <w:t>&amp;</w:t>
      </w:r>
      <w:r w:rsidR="00390BB8" w:rsidRPr="000F7038">
        <w:rPr>
          <w:rFonts w:ascii="Times New Roman" w:hAnsi="Times New Roman" w:cs="Times New Roman"/>
          <w:color w:val="000000" w:themeColor="text1"/>
          <w:sz w:val="24"/>
          <w:szCs w:val="24"/>
        </w:rPr>
        <w:t xml:space="preserve"> </w:t>
      </w:r>
      <w:proofErr w:type="spellStart"/>
      <w:r w:rsidR="00390BB8" w:rsidRPr="000F7038">
        <w:rPr>
          <w:rFonts w:ascii="Times New Roman" w:hAnsi="Times New Roman" w:cs="Times New Roman"/>
          <w:color w:val="000000" w:themeColor="text1"/>
          <w:sz w:val="24"/>
          <w:szCs w:val="24"/>
        </w:rPr>
        <w:t>Lakhal</w:t>
      </w:r>
      <w:proofErr w:type="spellEnd"/>
      <w:r w:rsidR="00390BB8" w:rsidRPr="000F7038">
        <w:rPr>
          <w:rFonts w:ascii="Times New Roman" w:hAnsi="Times New Roman" w:cs="Times New Roman"/>
          <w:color w:val="000000" w:themeColor="text1"/>
          <w:sz w:val="24"/>
          <w:szCs w:val="24"/>
        </w:rPr>
        <w:t>, 2015</w:t>
      </w:r>
      <w:r w:rsidRPr="000F7038">
        <w:rPr>
          <w:rFonts w:ascii="Times New Roman" w:hAnsi="Times New Roman" w:cs="Times New Roman"/>
          <w:color w:val="000000" w:themeColor="text1"/>
          <w:sz w:val="24"/>
          <w:szCs w:val="24"/>
        </w:rPr>
        <w:t xml:space="preserve">), hence we hypothesized our study as follow: </w:t>
      </w:r>
    </w:p>
    <w:p w14:paraId="0377EECA" w14:textId="77777777" w:rsidR="0093130B" w:rsidRPr="000F7038" w:rsidRDefault="0093130B" w:rsidP="006E01D2">
      <w:pPr>
        <w:pStyle w:val="ListParagraph"/>
        <w:spacing w:after="0" w:line="240" w:lineRule="auto"/>
        <w:ind w:left="0"/>
        <w:jc w:val="both"/>
        <w:rPr>
          <w:rFonts w:ascii="Times New Roman" w:hAnsi="Times New Roman" w:cs="Times New Roman"/>
          <w:color w:val="000000" w:themeColor="text1"/>
          <w:sz w:val="24"/>
          <w:szCs w:val="24"/>
        </w:rPr>
      </w:pPr>
    </w:p>
    <w:tbl>
      <w:tblPr>
        <w:tblStyle w:val="TableGrid0"/>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7178"/>
      </w:tblGrid>
      <w:tr w:rsidR="0093130B" w:rsidRPr="000F7038" w14:paraId="22735E03" w14:textId="77777777" w:rsidTr="0093130B">
        <w:tc>
          <w:tcPr>
            <w:tcW w:w="1559" w:type="dxa"/>
          </w:tcPr>
          <w:p w14:paraId="48163A43" w14:textId="14BE413B" w:rsidR="0093130B" w:rsidRPr="000F7038" w:rsidRDefault="0093130B" w:rsidP="006E01D2">
            <w:pPr>
              <w:pStyle w:val="ListParagraph"/>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Hypothesis 1: </w:t>
            </w:r>
          </w:p>
        </w:tc>
        <w:tc>
          <w:tcPr>
            <w:tcW w:w="7178" w:type="dxa"/>
          </w:tcPr>
          <w:p w14:paraId="7151EDF5" w14:textId="4643918C" w:rsidR="0093130B" w:rsidRPr="000F7038" w:rsidRDefault="0093130B" w:rsidP="006E01D2">
            <w:pPr>
              <w:pStyle w:val="ListParagraph"/>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There is relationship between environmental disclosure and stock market liquidity in term of bid-ask spread.</w:t>
            </w:r>
          </w:p>
          <w:p w14:paraId="17C60325" w14:textId="77777777" w:rsidR="0093130B" w:rsidRPr="000F7038" w:rsidRDefault="0093130B" w:rsidP="006E01D2">
            <w:pPr>
              <w:pStyle w:val="ListParagraph"/>
              <w:ind w:left="0"/>
              <w:jc w:val="both"/>
              <w:rPr>
                <w:rFonts w:ascii="Times New Roman" w:hAnsi="Times New Roman" w:cs="Times New Roman"/>
                <w:color w:val="000000" w:themeColor="text1"/>
                <w:sz w:val="24"/>
                <w:szCs w:val="24"/>
              </w:rPr>
            </w:pPr>
          </w:p>
        </w:tc>
      </w:tr>
    </w:tbl>
    <w:p w14:paraId="58E2B498" w14:textId="77777777" w:rsidR="0093130B" w:rsidRPr="000F7038" w:rsidRDefault="0093130B" w:rsidP="006E01D2">
      <w:pPr>
        <w:pStyle w:val="ListParagraph"/>
        <w:spacing w:after="0" w:line="240" w:lineRule="auto"/>
        <w:ind w:left="0"/>
        <w:jc w:val="both"/>
        <w:rPr>
          <w:rFonts w:ascii="Times New Roman" w:hAnsi="Times New Roman" w:cs="Times New Roman"/>
          <w:color w:val="000000" w:themeColor="text1"/>
          <w:sz w:val="24"/>
          <w:szCs w:val="24"/>
        </w:rPr>
      </w:pPr>
    </w:p>
    <w:p w14:paraId="452A8F13" w14:textId="5E010409" w:rsidR="00576D34" w:rsidRPr="000F7038" w:rsidRDefault="006E01D2" w:rsidP="006E01D2">
      <w:pPr>
        <w:pStyle w:val="ListParagraph"/>
        <w:numPr>
          <w:ilvl w:val="0"/>
          <w:numId w:val="1"/>
        </w:numPr>
        <w:spacing w:after="0" w:line="240" w:lineRule="auto"/>
        <w:ind w:left="180" w:hanging="180"/>
        <w:jc w:val="both"/>
        <w:rPr>
          <w:rFonts w:ascii="Times New Roman" w:hAnsi="Times New Roman" w:cs="Times New Roman"/>
          <w:b/>
          <w:bCs/>
          <w:color w:val="000000" w:themeColor="text1"/>
          <w:sz w:val="24"/>
          <w:szCs w:val="24"/>
        </w:rPr>
      </w:pPr>
      <w:r w:rsidRPr="000F7038">
        <w:rPr>
          <w:rFonts w:ascii="Times New Roman" w:hAnsi="Times New Roman" w:cs="Times New Roman"/>
          <w:b/>
          <w:bCs/>
          <w:color w:val="000000" w:themeColor="text1"/>
          <w:sz w:val="24"/>
          <w:szCs w:val="24"/>
        </w:rPr>
        <w:t xml:space="preserve"> </w:t>
      </w:r>
      <w:r w:rsidR="00576D34" w:rsidRPr="000F7038">
        <w:rPr>
          <w:rFonts w:ascii="Times New Roman" w:hAnsi="Times New Roman" w:cs="Times New Roman"/>
          <w:b/>
          <w:bCs/>
          <w:color w:val="000000" w:themeColor="text1"/>
          <w:sz w:val="24"/>
          <w:szCs w:val="24"/>
        </w:rPr>
        <w:t>Methodology</w:t>
      </w:r>
    </w:p>
    <w:p w14:paraId="1BB705A2" w14:textId="4C1EF21B" w:rsidR="00184666" w:rsidRPr="000F7038" w:rsidRDefault="00AA2C6D" w:rsidP="006E01D2">
      <w:pPr>
        <w:pStyle w:val="ListParagraph"/>
        <w:numPr>
          <w:ilvl w:val="1"/>
          <w:numId w:val="1"/>
        </w:numPr>
        <w:tabs>
          <w:tab w:val="left" w:pos="630"/>
          <w:tab w:val="left" w:pos="900"/>
        </w:tabs>
        <w:spacing w:after="0" w:line="240" w:lineRule="auto"/>
        <w:ind w:left="360"/>
        <w:jc w:val="both"/>
        <w:rPr>
          <w:rFonts w:ascii="Times New Roman" w:hAnsi="Times New Roman" w:cs="Times New Roman"/>
          <w:i/>
          <w:iCs/>
          <w:color w:val="000000" w:themeColor="text1"/>
          <w:sz w:val="24"/>
          <w:szCs w:val="24"/>
        </w:rPr>
      </w:pPr>
      <w:r w:rsidRPr="000F7038">
        <w:rPr>
          <w:rFonts w:ascii="Times New Roman" w:hAnsi="Times New Roman" w:cs="Times New Roman"/>
          <w:i/>
          <w:iCs/>
          <w:color w:val="000000" w:themeColor="text1"/>
          <w:sz w:val="24"/>
          <w:szCs w:val="24"/>
        </w:rPr>
        <w:t>Sample</w:t>
      </w:r>
    </w:p>
    <w:p w14:paraId="5A3AD4E4" w14:textId="59EBD9A0" w:rsidR="00AA2C6D" w:rsidRPr="000F7038" w:rsidRDefault="00AA2C6D" w:rsidP="006E01D2">
      <w:pPr>
        <w:pStyle w:val="ListParagraph"/>
        <w:spacing w:after="0" w:line="240" w:lineRule="auto"/>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The sample that used in this research were from different sectors </w:t>
      </w:r>
      <w:r w:rsidR="00D507D9" w:rsidRPr="000F7038">
        <w:rPr>
          <w:rFonts w:ascii="Times New Roman" w:hAnsi="Times New Roman" w:cs="Times New Roman"/>
          <w:color w:val="000000" w:themeColor="text1"/>
          <w:sz w:val="24"/>
          <w:szCs w:val="24"/>
        </w:rPr>
        <w:t xml:space="preserve">of public listed companies </w:t>
      </w:r>
      <w:r w:rsidRPr="000F7038">
        <w:rPr>
          <w:rFonts w:ascii="Times New Roman" w:hAnsi="Times New Roman" w:cs="Times New Roman"/>
          <w:color w:val="000000" w:themeColor="text1"/>
          <w:sz w:val="24"/>
          <w:szCs w:val="24"/>
        </w:rPr>
        <w:t xml:space="preserve">such as Property, Consumer, Technology, Trading-service, Industrial and Plantation. The resource that </w:t>
      </w:r>
      <w:r w:rsidR="000D368E" w:rsidRPr="000F7038">
        <w:rPr>
          <w:rFonts w:ascii="Times New Roman" w:hAnsi="Times New Roman" w:cs="Times New Roman"/>
          <w:color w:val="000000" w:themeColor="text1"/>
          <w:sz w:val="24"/>
          <w:szCs w:val="24"/>
        </w:rPr>
        <w:t>this study</w:t>
      </w:r>
      <w:r w:rsidRPr="000F7038">
        <w:rPr>
          <w:rFonts w:ascii="Times New Roman" w:hAnsi="Times New Roman" w:cs="Times New Roman"/>
          <w:color w:val="000000" w:themeColor="text1"/>
          <w:sz w:val="24"/>
          <w:szCs w:val="24"/>
        </w:rPr>
        <w:t xml:space="preserve"> used to carry out the empirical research was secondary </w:t>
      </w:r>
      <w:r w:rsidR="000D368E" w:rsidRPr="000F7038">
        <w:rPr>
          <w:rFonts w:ascii="Times New Roman" w:hAnsi="Times New Roman" w:cs="Times New Roman"/>
          <w:color w:val="000000" w:themeColor="text1"/>
          <w:sz w:val="24"/>
          <w:szCs w:val="24"/>
        </w:rPr>
        <w:t>data</w:t>
      </w:r>
      <w:r w:rsidRPr="000F7038">
        <w:rPr>
          <w:rFonts w:ascii="Times New Roman" w:hAnsi="Times New Roman" w:cs="Times New Roman"/>
          <w:color w:val="000000" w:themeColor="text1"/>
          <w:sz w:val="24"/>
          <w:szCs w:val="24"/>
        </w:rPr>
        <w:t xml:space="preserve">. </w:t>
      </w:r>
      <w:r w:rsidR="00D507D9" w:rsidRPr="000F7038">
        <w:rPr>
          <w:rFonts w:ascii="Times New Roman" w:hAnsi="Times New Roman" w:cs="Times New Roman"/>
          <w:color w:val="000000" w:themeColor="text1"/>
          <w:sz w:val="24"/>
          <w:szCs w:val="24"/>
        </w:rPr>
        <w:t xml:space="preserve">Annual report of public listed firm from Bursa Malaysia was the main resources that gather data of information of environmental disclosure. The final sample that used in the data comprised 456 </w:t>
      </w:r>
      <w:r w:rsidR="00D507D9" w:rsidRPr="000F7038">
        <w:rPr>
          <w:rFonts w:ascii="Times New Roman" w:hAnsi="Times New Roman" w:cs="Times New Roman"/>
          <w:color w:val="000000" w:themeColor="text1"/>
          <w:sz w:val="24"/>
          <w:szCs w:val="24"/>
        </w:rPr>
        <w:lastRenderedPageBreak/>
        <w:t>companies</w:t>
      </w:r>
      <w:r w:rsidR="008748BF" w:rsidRPr="000F7038">
        <w:rPr>
          <w:rFonts w:ascii="Times New Roman" w:hAnsi="Times New Roman" w:cs="Times New Roman"/>
          <w:color w:val="000000" w:themeColor="text1"/>
          <w:sz w:val="24"/>
          <w:szCs w:val="24"/>
        </w:rPr>
        <w:t xml:space="preserve"> </w:t>
      </w:r>
      <w:r w:rsidR="000D368E" w:rsidRPr="000F7038">
        <w:rPr>
          <w:rFonts w:ascii="Times New Roman" w:hAnsi="Times New Roman" w:cs="Times New Roman"/>
          <w:color w:val="000000" w:themeColor="text1"/>
          <w:sz w:val="24"/>
          <w:szCs w:val="24"/>
        </w:rPr>
        <w:t>whereby</w:t>
      </w:r>
      <w:r w:rsidR="00D507D9" w:rsidRPr="000F7038">
        <w:rPr>
          <w:rFonts w:ascii="Times New Roman" w:hAnsi="Times New Roman" w:cs="Times New Roman"/>
          <w:color w:val="000000" w:themeColor="text1"/>
          <w:sz w:val="24"/>
          <w:szCs w:val="24"/>
        </w:rPr>
        <w:t xml:space="preserve"> initially have 472 public listed company from seven sectors</w:t>
      </w:r>
      <w:r w:rsidR="0093130B" w:rsidRPr="000F7038">
        <w:rPr>
          <w:rFonts w:ascii="Times New Roman" w:hAnsi="Times New Roman" w:cs="Times New Roman"/>
          <w:color w:val="000000" w:themeColor="text1"/>
          <w:sz w:val="24"/>
          <w:szCs w:val="24"/>
        </w:rPr>
        <w:t xml:space="preserve"> after removing non available data</w:t>
      </w:r>
      <w:r w:rsidR="00D507D9" w:rsidRPr="000F7038">
        <w:rPr>
          <w:rFonts w:ascii="Times New Roman" w:hAnsi="Times New Roman" w:cs="Times New Roman"/>
          <w:color w:val="000000" w:themeColor="text1"/>
          <w:sz w:val="24"/>
          <w:szCs w:val="24"/>
        </w:rPr>
        <w:t xml:space="preserve">. The period that used was 2016 which only one-year period. </w:t>
      </w:r>
      <w:r w:rsidRPr="000F7038">
        <w:rPr>
          <w:rFonts w:ascii="Times New Roman" w:hAnsi="Times New Roman" w:cs="Times New Roman"/>
          <w:color w:val="000000" w:themeColor="text1"/>
          <w:sz w:val="24"/>
          <w:szCs w:val="24"/>
        </w:rPr>
        <w:t xml:space="preserve">The financial data of two dependent variables includes bid-ask price and control variable like firm leverage, firm size, book-to-market ratio were collected from Thomson Reuters DataStream which is a tool of macroeconomic analysis. </w:t>
      </w:r>
    </w:p>
    <w:p w14:paraId="4AB420E6" w14:textId="6D16ADF0" w:rsidR="000F7038" w:rsidRDefault="000F7038" w:rsidP="006E01D2">
      <w:pPr>
        <w:pStyle w:val="ListParagraph"/>
        <w:spacing w:after="0" w:line="240" w:lineRule="auto"/>
        <w:jc w:val="both"/>
        <w:rPr>
          <w:rFonts w:ascii="Times New Roman" w:hAnsi="Times New Roman" w:cs="Times New Roman"/>
          <w:color w:val="000000" w:themeColor="text1"/>
          <w:sz w:val="24"/>
          <w:szCs w:val="24"/>
        </w:rPr>
      </w:pPr>
    </w:p>
    <w:p w14:paraId="1A1BB33F" w14:textId="33B83075" w:rsidR="00026BAF" w:rsidRDefault="00026BAF" w:rsidP="006E01D2">
      <w:pPr>
        <w:pStyle w:val="ListParagraph"/>
        <w:spacing w:after="0" w:line="240" w:lineRule="auto"/>
        <w:jc w:val="both"/>
        <w:rPr>
          <w:rFonts w:ascii="Times New Roman" w:hAnsi="Times New Roman" w:cs="Times New Roman"/>
          <w:color w:val="000000" w:themeColor="text1"/>
          <w:sz w:val="24"/>
          <w:szCs w:val="24"/>
        </w:rPr>
      </w:pPr>
    </w:p>
    <w:p w14:paraId="3C27D7AA" w14:textId="77777777" w:rsidR="00026BAF" w:rsidRPr="000F7038" w:rsidRDefault="00026BAF" w:rsidP="006E01D2">
      <w:pPr>
        <w:pStyle w:val="ListParagraph"/>
        <w:spacing w:after="0" w:line="240" w:lineRule="auto"/>
        <w:jc w:val="both"/>
        <w:rPr>
          <w:rFonts w:ascii="Times New Roman" w:hAnsi="Times New Roman" w:cs="Times New Roman"/>
          <w:color w:val="000000" w:themeColor="text1"/>
          <w:sz w:val="24"/>
          <w:szCs w:val="24"/>
        </w:rPr>
      </w:pPr>
    </w:p>
    <w:p w14:paraId="6CADF84D" w14:textId="4AF043D2" w:rsidR="00AA2C6D" w:rsidRPr="000F7038" w:rsidRDefault="00D507D9" w:rsidP="006E01D2">
      <w:pPr>
        <w:pStyle w:val="ListParagraph"/>
        <w:numPr>
          <w:ilvl w:val="1"/>
          <w:numId w:val="1"/>
        </w:numPr>
        <w:spacing w:after="0" w:line="240" w:lineRule="auto"/>
        <w:ind w:left="360"/>
        <w:jc w:val="both"/>
        <w:rPr>
          <w:rFonts w:ascii="Times New Roman" w:hAnsi="Times New Roman" w:cs="Times New Roman"/>
          <w:i/>
          <w:iCs/>
          <w:color w:val="000000" w:themeColor="text1"/>
          <w:sz w:val="24"/>
          <w:szCs w:val="24"/>
        </w:rPr>
      </w:pPr>
      <w:r w:rsidRPr="000F7038">
        <w:rPr>
          <w:rFonts w:ascii="Times New Roman" w:hAnsi="Times New Roman" w:cs="Times New Roman"/>
          <w:i/>
          <w:iCs/>
          <w:color w:val="000000" w:themeColor="text1"/>
          <w:sz w:val="24"/>
          <w:szCs w:val="24"/>
        </w:rPr>
        <w:t>Environment Disclosure</w:t>
      </w:r>
    </w:p>
    <w:p w14:paraId="7E66AEE5" w14:textId="5AC8B065" w:rsidR="00D507D9" w:rsidRPr="000F7038" w:rsidRDefault="006648E4" w:rsidP="006E01D2">
      <w:pPr>
        <w:pStyle w:val="ListParagraph"/>
        <w:spacing w:after="0" w:line="240" w:lineRule="auto"/>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The measurement </w:t>
      </w:r>
      <w:r w:rsidR="001961AF" w:rsidRPr="000F7038">
        <w:rPr>
          <w:rFonts w:ascii="Times New Roman" w:hAnsi="Times New Roman" w:cs="Times New Roman"/>
          <w:color w:val="000000" w:themeColor="text1"/>
          <w:sz w:val="24"/>
          <w:szCs w:val="24"/>
        </w:rPr>
        <w:t xml:space="preserve">disclosure environmental information </w:t>
      </w:r>
      <w:r w:rsidRPr="000F7038">
        <w:rPr>
          <w:rFonts w:ascii="Times New Roman" w:hAnsi="Times New Roman" w:cs="Times New Roman"/>
          <w:color w:val="000000" w:themeColor="text1"/>
          <w:sz w:val="24"/>
          <w:szCs w:val="24"/>
        </w:rPr>
        <w:t xml:space="preserve">was done by calculate the number on words that relate to the environmental that appeared in the annual report of public listed companies in Bursa Malaysia by categorize different industries. </w:t>
      </w:r>
      <w:proofErr w:type="spellStart"/>
      <w:r w:rsidRPr="000F7038">
        <w:rPr>
          <w:rFonts w:ascii="Times New Roman" w:hAnsi="Times New Roman" w:cs="Times New Roman"/>
          <w:color w:val="000000" w:themeColor="text1"/>
          <w:sz w:val="24"/>
          <w:szCs w:val="24"/>
        </w:rPr>
        <w:t>Zeghal</w:t>
      </w:r>
      <w:proofErr w:type="spellEnd"/>
      <w:r w:rsidRPr="000F7038">
        <w:rPr>
          <w:rFonts w:ascii="Times New Roman" w:hAnsi="Times New Roman" w:cs="Times New Roman"/>
          <w:color w:val="000000" w:themeColor="text1"/>
          <w:sz w:val="24"/>
          <w:szCs w:val="24"/>
        </w:rPr>
        <w:t xml:space="preserve"> and Ahmed (1990) </w:t>
      </w:r>
      <w:r w:rsidR="00FB2F77" w:rsidRPr="000F7038">
        <w:rPr>
          <w:rFonts w:ascii="Times New Roman" w:hAnsi="Times New Roman" w:cs="Times New Roman"/>
          <w:color w:val="000000" w:themeColor="text1"/>
          <w:sz w:val="24"/>
          <w:szCs w:val="24"/>
        </w:rPr>
        <w:t>used the</w:t>
      </w:r>
      <w:r w:rsidRPr="000F7038">
        <w:rPr>
          <w:rFonts w:ascii="Times New Roman" w:hAnsi="Times New Roman" w:cs="Times New Roman"/>
          <w:color w:val="000000" w:themeColor="text1"/>
          <w:sz w:val="24"/>
          <w:szCs w:val="24"/>
        </w:rPr>
        <w:t xml:space="preserve"> approached that counting </w:t>
      </w:r>
      <w:r w:rsidR="0093130B" w:rsidRPr="000F7038">
        <w:rPr>
          <w:rFonts w:ascii="Times New Roman" w:hAnsi="Times New Roman" w:cs="Times New Roman"/>
          <w:color w:val="000000" w:themeColor="text1"/>
          <w:sz w:val="24"/>
          <w:szCs w:val="24"/>
        </w:rPr>
        <w:t>to</w:t>
      </w:r>
      <w:r w:rsidRPr="000F7038">
        <w:rPr>
          <w:rFonts w:ascii="Times New Roman" w:hAnsi="Times New Roman" w:cs="Times New Roman"/>
          <w:color w:val="000000" w:themeColor="text1"/>
          <w:sz w:val="24"/>
          <w:szCs w:val="24"/>
        </w:rPr>
        <w:t xml:space="preserve"> word use enable to shield against the irregularities in computing the quantity of disclosure. </w:t>
      </w:r>
      <w:r w:rsidR="00153EA0" w:rsidRPr="000F7038">
        <w:rPr>
          <w:rFonts w:ascii="Times New Roman" w:hAnsi="Times New Roman" w:cs="Times New Roman"/>
          <w:color w:val="000000" w:themeColor="text1"/>
          <w:sz w:val="24"/>
          <w:szCs w:val="24"/>
        </w:rPr>
        <w:t>The</w:t>
      </w:r>
      <w:r w:rsidRPr="000F7038">
        <w:rPr>
          <w:rFonts w:ascii="Times New Roman" w:hAnsi="Times New Roman" w:cs="Times New Roman"/>
          <w:color w:val="000000" w:themeColor="text1"/>
          <w:sz w:val="24"/>
          <w:szCs w:val="24"/>
        </w:rPr>
        <w:t xml:space="preserve"> environmental disclosure index to be counted such as “Waste”,</w:t>
      </w:r>
      <w:r w:rsidR="00153EA0" w:rsidRPr="000F7038">
        <w:rPr>
          <w:rFonts w:ascii="Times New Roman" w:hAnsi="Times New Roman" w:cs="Times New Roman"/>
          <w:color w:val="000000" w:themeColor="text1"/>
          <w:sz w:val="24"/>
          <w:szCs w:val="24"/>
        </w:rPr>
        <w:t xml:space="preserve"> </w:t>
      </w:r>
      <w:r w:rsidRPr="000F7038">
        <w:rPr>
          <w:rFonts w:ascii="Times New Roman" w:hAnsi="Times New Roman" w:cs="Times New Roman"/>
          <w:color w:val="000000" w:themeColor="text1"/>
          <w:sz w:val="24"/>
          <w:szCs w:val="24"/>
        </w:rPr>
        <w:t>“</w:t>
      </w:r>
      <w:r w:rsidR="001961AF" w:rsidRPr="000F7038">
        <w:rPr>
          <w:rFonts w:ascii="Times New Roman" w:hAnsi="Times New Roman" w:cs="Times New Roman"/>
          <w:color w:val="000000" w:themeColor="text1"/>
          <w:sz w:val="24"/>
          <w:szCs w:val="24"/>
        </w:rPr>
        <w:t>Recycle</w:t>
      </w:r>
      <w:r w:rsidRPr="000F7038">
        <w:rPr>
          <w:rFonts w:ascii="Times New Roman" w:hAnsi="Times New Roman" w:cs="Times New Roman"/>
          <w:color w:val="000000" w:themeColor="text1"/>
          <w:sz w:val="24"/>
          <w:szCs w:val="24"/>
        </w:rPr>
        <w:t>”, “Environment”, “Material”, “</w:t>
      </w:r>
      <w:r w:rsidR="001961AF" w:rsidRPr="000F7038">
        <w:rPr>
          <w:rFonts w:ascii="Times New Roman" w:hAnsi="Times New Roman" w:cs="Times New Roman"/>
          <w:color w:val="000000" w:themeColor="text1"/>
          <w:sz w:val="24"/>
          <w:szCs w:val="24"/>
        </w:rPr>
        <w:t>Energy</w:t>
      </w:r>
      <w:r w:rsidRPr="000F7038">
        <w:rPr>
          <w:rFonts w:ascii="Times New Roman" w:hAnsi="Times New Roman" w:cs="Times New Roman"/>
          <w:color w:val="000000" w:themeColor="text1"/>
          <w:sz w:val="24"/>
          <w:szCs w:val="24"/>
        </w:rPr>
        <w:t>”, “</w:t>
      </w:r>
      <w:r w:rsidR="001961AF" w:rsidRPr="000F7038">
        <w:rPr>
          <w:rFonts w:ascii="Times New Roman" w:hAnsi="Times New Roman" w:cs="Times New Roman"/>
          <w:color w:val="000000" w:themeColor="text1"/>
          <w:sz w:val="24"/>
          <w:szCs w:val="24"/>
        </w:rPr>
        <w:t>Electricity</w:t>
      </w:r>
      <w:r w:rsidRPr="000F7038">
        <w:rPr>
          <w:rFonts w:ascii="Times New Roman" w:hAnsi="Times New Roman" w:cs="Times New Roman"/>
          <w:color w:val="000000" w:themeColor="text1"/>
          <w:sz w:val="24"/>
          <w:szCs w:val="24"/>
        </w:rPr>
        <w:t>”, “Reus</w:t>
      </w:r>
      <w:r w:rsidR="006E01D2" w:rsidRPr="000F7038">
        <w:rPr>
          <w:rFonts w:ascii="Times New Roman" w:hAnsi="Times New Roman" w:cs="Times New Roman"/>
          <w:color w:val="000000" w:themeColor="text1"/>
          <w:sz w:val="24"/>
          <w:szCs w:val="24"/>
        </w:rPr>
        <w:t>e</w:t>
      </w:r>
      <w:r w:rsidRPr="000F7038">
        <w:rPr>
          <w:rFonts w:ascii="Times New Roman" w:hAnsi="Times New Roman" w:cs="Times New Roman"/>
          <w:color w:val="000000" w:themeColor="text1"/>
          <w:sz w:val="24"/>
          <w:szCs w:val="24"/>
        </w:rPr>
        <w:t>”, “</w:t>
      </w:r>
      <w:r w:rsidR="001961AF" w:rsidRPr="000F7038">
        <w:rPr>
          <w:rFonts w:ascii="Times New Roman" w:hAnsi="Times New Roman" w:cs="Times New Roman"/>
          <w:color w:val="000000" w:themeColor="text1"/>
          <w:sz w:val="24"/>
          <w:szCs w:val="24"/>
        </w:rPr>
        <w:t>Biodiversity</w:t>
      </w:r>
      <w:r w:rsidRPr="000F7038">
        <w:rPr>
          <w:rFonts w:ascii="Times New Roman" w:hAnsi="Times New Roman" w:cs="Times New Roman"/>
          <w:color w:val="000000" w:themeColor="text1"/>
          <w:sz w:val="24"/>
          <w:szCs w:val="24"/>
        </w:rPr>
        <w:t>”, “Water”, “Spill”, “Effluent” and “</w:t>
      </w:r>
      <w:r w:rsidR="001961AF" w:rsidRPr="000F7038">
        <w:rPr>
          <w:rFonts w:ascii="Times New Roman" w:hAnsi="Times New Roman" w:cs="Times New Roman"/>
          <w:color w:val="000000" w:themeColor="text1"/>
          <w:sz w:val="24"/>
          <w:szCs w:val="24"/>
        </w:rPr>
        <w:t>Environmental Management System</w:t>
      </w:r>
      <w:r w:rsidRPr="000F7038">
        <w:rPr>
          <w:rFonts w:ascii="Times New Roman" w:hAnsi="Times New Roman" w:cs="Times New Roman"/>
          <w:color w:val="000000" w:themeColor="text1"/>
          <w:sz w:val="24"/>
          <w:szCs w:val="24"/>
        </w:rPr>
        <w:t>” which appeared in the annual reports were scanned and calculated by using computer.</w:t>
      </w:r>
    </w:p>
    <w:p w14:paraId="14752704" w14:textId="77777777" w:rsidR="00153EA0" w:rsidRPr="000F7038" w:rsidRDefault="00153EA0" w:rsidP="006E01D2">
      <w:pPr>
        <w:pStyle w:val="ListParagraph"/>
        <w:spacing w:after="0" w:line="240" w:lineRule="auto"/>
        <w:ind w:left="0"/>
        <w:jc w:val="both"/>
        <w:rPr>
          <w:rFonts w:ascii="Times New Roman" w:hAnsi="Times New Roman" w:cs="Times New Roman"/>
          <w:color w:val="000000" w:themeColor="text1"/>
          <w:sz w:val="24"/>
          <w:szCs w:val="24"/>
        </w:rPr>
      </w:pPr>
    </w:p>
    <w:p w14:paraId="3A3629D9" w14:textId="291A28F8" w:rsidR="00D507D9" w:rsidRPr="000F7038" w:rsidRDefault="00D507D9" w:rsidP="006E01D2">
      <w:pPr>
        <w:pStyle w:val="ListParagraph"/>
        <w:numPr>
          <w:ilvl w:val="1"/>
          <w:numId w:val="1"/>
        </w:numPr>
        <w:spacing w:after="0" w:line="240" w:lineRule="auto"/>
        <w:ind w:left="360"/>
        <w:jc w:val="both"/>
        <w:rPr>
          <w:rFonts w:ascii="Times New Roman" w:hAnsi="Times New Roman" w:cs="Times New Roman"/>
          <w:i/>
          <w:iCs/>
          <w:color w:val="000000" w:themeColor="text1"/>
          <w:sz w:val="24"/>
          <w:szCs w:val="24"/>
        </w:rPr>
      </w:pPr>
      <w:r w:rsidRPr="000F7038">
        <w:rPr>
          <w:rFonts w:ascii="Times New Roman" w:hAnsi="Times New Roman" w:cs="Times New Roman"/>
          <w:i/>
          <w:iCs/>
          <w:color w:val="000000" w:themeColor="text1"/>
          <w:sz w:val="24"/>
          <w:szCs w:val="24"/>
        </w:rPr>
        <w:t>Bid-Ask Spread (SPREAD)</w:t>
      </w:r>
    </w:p>
    <w:p w14:paraId="53FE946B" w14:textId="6023E6FC" w:rsidR="00B04392" w:rsidRPr="000F7038" w:rsidRDefault="00B04392" w:rsidP="006E01D2">
      <w:pPr>
        <w:pStyle w:val="ListParagraph"/>
        <w:tabs>
          <w:tab w:val="left" w:pos="990"/>
          <w:tab w:val="left" w:pos="1440"/>
        </w:tabs>
        <w:spacing w:after="0" w:line="240" w:lineRule="auto"/>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Bid-ask spreads used to measure the stock market liquidity </w:t>
      </w:r>
      <w:r w:rsidR="00FB2F77" w:rsidRPr="000F7038">
        <w:rPr>
          <w:rFonts w:ascii="Times New Roman" w:hAnsi="Times New Roman" w:cs="Times New Roman"/>
          <w:color w:val="000000" w:themeColor="text1"/>
          <w:sz w:val="24"/>
          <w:szCs w:val="24"/>
        </w:rPr>
        <w:t>based on</w:t>
      </w:r>
      <w:r w:rsidRPr="000F7038">
        <w:rPr>
          <w:rFonts w:ascii="Times New Roman" w:hAnsi="Times New Roman" w:cs="Times New Roman"/>
          <w:color w:val="000000" w:themeColor="text1"/>
          <w:sz w:val="24"/>
          <w:szCs w:val="24"/>
        </w:rPr>
        <w:t xml:space="preserve"> the average of daily</w:t>
      </w:r>
      <w:r w:rsidR="00FB2F77" w:rsidRPr="000F7038">
        <w:rPr>
          <w:rFonts w:ascii="Times New Roman" w:hAnsi="Times New Roman" w:cs="Times New Roman"/>
          <w:color w:val="000000" w:themeColor="text1"/>
          <w:sz w:val="24"/>
          <w:szCs w:val="24"/>
        </w:rPr>
        <w:t xml:space="preserve"> </w:t>
      </w:r>
      <w:r w:rsidRPr="000F7038">
        <w:rPr>
          <w:rFonts w:ascii="Times New Roman" w:hAnsi="Times New Roman" w:cs="Times New Roman"/>
          <w:color w:val="000000" w:themeColor="text1"/>
          <w:sz w:val="24"/>
          <w:szCs w:val="24"/>
        </w:rPr>
        <w:t>relative bid-ask spreads. This measurement was use</w:t>
      </w:r>
      <w:r w:rsidR="006E01D2" w:rsidRPr="000F7038">
        <w:rPr>
          <w:rFonts w:ascii="Times New Roman" w:hAnsi="Times New Roman" w:cs="Times New Roman"/>
          <w:color w:val="000000" w:themeColor="text1"/>
          <w:sz w:val="24"/>
          <w:szCs w:val="24"/>
        </w:rPr>
        <w:t>d</w:t>
      </w:r>
      <w:r w:rsidRPr="000F7038">
        <w:rPr>
          <w:rFonts w:ascii="Times New Roman" w:hAnsi="Times New Roman" w:cs="Times New Roman"/>
          <w:color w:val="000000" w:themeColor="text1"/>
          <w:sz w:val="24"/>
          <w:szCs w:val="24"/>
        </w:rPr>
        <w:t xml:space="preserve"> by previous research by </w:t>
      </w:r>
      <w:proofErr w:type="spellStart"/>
      <w:r w:rsidRPr="000F7038">
        <w:rPr>
          <w:rFonts w:ascii="Times New Roman" w:hAnsi="Times New Roman" w:cs="Times New Roman"/>
          <w:color w:val="000000" w:themeColor="text1"/>
          <w:sz w:val="24"/>
          <w:szCs w:val="24"/>
        </w:rPr>
        <w:t>Ascioglu</w:t>
      </w:r>
      <w:proofErr w:type="spellEnd"/>
      <w:r w:rsidRPr="000F7038">
        <w:rPr>
          <w:rFonts w:ascii="Times New Roman" w:hAnsi="Times New Roman" w:cs="Times New Roman"/>
          <w:color w:val="000000" w:themeColor="text1"/>
          <w:sz w:val="24"/>
          <w:szCs w:val="24"/>
        </w:rPr>
        <w:t xml:space="preserve">, Hegde and McDermott (2005) and Muller III and </w:t>
      </w:r>
      <w:proofErr w:type="spellStart"/>
      <w:r w:rsidRPr="000F7038">
        <w:rPr>
          <w:rFonts w:ascii="Times New Roman" w:hAnsi="Times New Roman" w:cs="Times New Roman"/>
          <w:color w:val="000000" w:themeColor="text1"/>
          <w:sz w:val="24"/>
          <w:szCs w:val="24"/>
        </w:rPr>
        <w:t>Riedl</w:t>
      </w:r>
      <w:proofErr w:type="spellEnd"/>
      <w:r w:rsidRPr="000F7038">
        <w:rPr>
          <w:rFonts w:ascii="Times New Roman" w:hAnsi="Times New Roman" w:cs="Times New Roman"/>
          <w:color w:val="000000" w:themeColor="text1"/>
          <w:sz w:val="24"/>
          <w:szCs w:val="24"/>
        </w:rPr>
        <w:t xml:space="preserve"> (2002). This to determine how liquidity of a particular investment. The higher the stock market liquidity will influence the lower bid-ask spread. The measurement of bid-ask spread was as follow: -</w:t>
      </w:r>
    </w:p>
    <w:p w14:paraId="514F46BE" w14:textId="77777777" w:rsidR="00B04392" w:rsidRPr="000F7038" w:rsidRDefault="00B04392" w:rsidP="006E01D2">
      <w:pPr>
        <w:pStyle w:val="ListParagraph"/>
        <w:spacing w:after="0" w:line="240" w:lineRule="auto"/>
        <w:rPr>
          <w:rFonts w:ascii="Times New Roman" w:hAnsi="Times New Roman" w:cs="Times New Roman"/>
          <w:color w:val="000000" w:themeColor="text1"/>
          <w:sz w:val="24"/>
          <w:szCs w:val="24"/>
        </w:rPr>
      </w:pPr>
    </w:p>
    <w:p w14:paraId="6890BA7D" w14:textId="6959BAB7" w:rsidR="00B04392" w:rsidRPr="000F7038" w:rsidRDefault="00B04392" w:rsidP="006E01D2">
      <w:pPr>
        <w:pStyle w:val="ListParagraph"/>
        <w:spacing w:after="0" w:line="240" w:lineRule="auto"/>
        <w:ind w:left="0"/>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SPREAD = Ask Price – Bid Price</w:t>
      </w:r>
    </w:p>
    <w:p w14:paraId="1497EF21" w14:textId="77777777" w:rsidR="00B04392" w:rsidRPr="000F7038" w:rsidRDefault="00B04392" w:rsidP="006E01D2">
      <w:pPr>
        <w:pStyle w:val="ListParagraph"/>
        <w:spacing w:after="0" w:line="240" w:lineRule="auto"/>
        <w:ind w:left="0"/>
        <w:rPr>
          <w:rFonts w:ascii="Times New Roman" w:hAnsi="Times New Roman" w:cs="Times New Roman"/>
          <w:b/>
          <w:bCs/>
          <w:color w:val="000000" w:themeColor="text1"/>
          <w:sz w:val="24"/>
          <w:szCs w:val="24"/>
        </w:rPr>
      </w:pPr>
    </w:p>
    <w:p w14:paraId="25733015" w14:textId="2F040BA0" w:rsidR="004A0A70" w:rsidRPr="000F7038" w:rsidRDefault="004A0A70" w:rsidP="006E01D2">
      <w:pPr>
        <w:pStyle w:val="ListParagraph"/>
        <w:numPr>
          <w:ilvl w:val="1"/>
          <w:numId w:val="1"/>
        </w:numPr>
        <w:spacing w:after="0" w:line="240" w:lineRule="auto"/>
        <w:ind w:left="360"/>
        <w:jc w:val="both"/>
        <w:rPr>
          <w:rFonts w:ascii="Times New Roman" w:hAnsi="Times New Roman" w:cs="Times New Roman"/>
          <w:i/>
          <w:iCs/>
          <w:color w:val="000000" w:themeColor="text1"/>
          <w:sz w:val="24"/>
          <w:szCs w:val="24"/>
        </w:rPr>
      </w:pPr>
      <w:r w:rsidRPr="000F7038">
        <w:rPr>
          <w:rFonts w:ascii="Times New Roman" w:hAnsi="Times New Roman" w:cs="Times New Roman"/>
          <w:i/>
          <w:iCs/>
          <w:color w:val="000000" w:themeColor="text1"/>
          <w:sz w:val="24"/>
          <w:szCs w:val="24"/>
        </w:rPr>
        <w:t>Regression Model</w:t>
      </w:r>
    </w:p>
    <w:p w14:paraId="639DFFA5" w14:textId="4EEA60E5" w:rsidR="004A0A70" w:rsidRPr="000F7038" w:rsidRDefault="004A0A70" w:rsidP="006E01D2">
      <w:pPr>
        <w:pStyle w:val="ListParagraph"/>
        <w:tabs>
          <w:tab w:val="left" w:pos="810"/>
        </w:tabs>
        <w:spacing w:after="0" w:line="240" w:lineRule="auto"/>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The multiple regression analysis was </w:t>
      </w:r>
      <w:r w:rsidR="00FB2F77" w:rsidRPr="000F7038">
        <w:rPr>
          <w:rFonts w:ascii="Times New Roman" w:hAnsi="Times New Roman" w:cs="Times New Roman"/>
          <w:color w:val="000000" w:themeColor="text1"/>
          <w:sz w:val="24"/>
          <w:szCs w:val="24"/>
        </w:rPr>
        <w:t>used to determine</w:t>
      </w:r>
      <w:r w:rsidRPr="000F7038">
        <w:rPr>
          <w:rFonts w:ascii="Times New Roman" w:hAnsi="Times New Roman" w:cs="Times New Roman"/>
          <w:color w:val="000000" w:themeColor="text1"/>
          <w:sz w:val="24"/>
          <w:szCs w:val="24"/>
        </w:rPr>
        <w:t xml:space="preserve"> the relationship between Environmental Disclosure and stock market liquidity in term of bid-ask price (SPREAD) </w:t>
      </w:r>
      <w:r w:rsidR="00FB2F77" w:rsidRPr="000F7038">
        <w:rPr>
          <w:rFonts w:ascii="Times New Roman" w:hAnsi="Times New Roman" w:cs="Times New Roman"/>
          <w:color w:val="000000" w:themeColor="text1"/>
          <w:sz w:val="24"/>
          <w:szCs w:val="24"/>
        </w:rPr>
        <w:t>and control variables</w:t>
      </w:r>
      <w:r w:rsidRPr="000F7038">
        <w:rPr>
          <w:rFonts w:ascii="Times New Roman" w:hAnsi="Times New Roman" w:cs="Times New Roman"/>
          <w:color w:val="000000" w:themeColor="text1"/>
          <w:sz w:val="24"/>
          <w:szCs w:val="24"/>
        </w:rPr>
        <w:t xml:space="preserve"> such as firm leverage, firm size and firm book-to market ratio. The multiple regression model was having greater flexibility as researchers were able to control the variables those were affecting the dependent variables demonstratively: </w:t>
      </w:r>
    </w:p>
    <w:p w14:paraId="0886B28C" w14:textId="00624FFF" w:rsidR="004A0A70" w:rsidRPr="000F7038" w:rsidRDefault="004A0A70" w:rsidP="006E01D2">
      <w:pPr>
        <w:pStyle w:val="ListParagraph"/>
        <w:tabs>
          <w:tab w:val="left" w:pos="810"/>
        </w:tabs>
        <w:spacing w:after="0" w:line="240" w:lineRule="auto"/>
        <w:ind w:left="0"/>
        <w:rPr>
          <w:rFonts w:ascii="Times New Roman" w:hAnsi="Times New Roman" w:cs="Times New Roman"/>
          <w:color w:val="000000" w:themeColor="text1"/>
          <w:sz w:val="24"/>
          <w:szCs w:val="24"/>
        </w:rPr>
      </w:pPr>
    </w:p>
    <w:p w14:paraId="56A39EAF" w14:textId="71BFC9AA" w:rsidR="004A0A70" w:rsidRPr="000F7038" w:rsidRDefault="004A0A70" w:rsidP="006E01D2">
      <w:pPr>
        <w:pStyle w:val="ListParagraph"/>
        <w:tabs>
          <w:tab w:val="left" w:pos="810"/>
        </w:tabs>
        <w:spacing w:after="0" w:line="240" w:lineRule="auto"/>
        <w:ind w:left="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Functional form: </w:t>
      </w:r>
      <w:r w:rsidR="006B4691" w:rsidRPr="000F7038">
        <w:rPr>
          <w:rFonts w:ascii="Times New Roman" w:hAnsi="Times New Roman" w:cs="Times New Roman"/>
          <w:color w:val="000000" w:themeColor="text1"/>
          <w:sz w:val="24"/>
          <w:szCs w:val="24"/>
        </w:rPr>
        <w:t xml:space="preserve"> </w:t>
      </w:r>
      <w:r w:rsidRPr="000F7038">
        <w:rPr>
          <w:rFonts w:ascii="Times New Roman" w:hAnsi="Times New Roman" w:cs="Times New Roman"/>
          <w:color w:val="000000" w:themeColor="text1"/>
          <w:sz w:val="24"/>
          <w:szCs w:val="24"/>
        </w:rPr>
        <w:t>Stock Market Liquidity = f (</w:t>
      </w:r>
      <w:r w:rsidR="006B4691" w:rsidRPr="000F7038">
        <w:rPr>
          <w:rFonts w:ascii="Times New Roman" w:hAnsi="Times New Roman" w:cs="Times New Roman"/>
          <w:color w:val="000000" w:themeColor="text1"/>
          <w:sz w:val="24"/>
          <w:szCs w:val="24"/>
        </w:rPr>
        <w:t>ED</w:t>
      </w:r>
      <w:r w:rsidRPr="000F7038">
        <w:rPr>
          <w:rFonts w:ascii="Times New Roman" w:hAnsi="Times New Roman" w:cs="Times New Roman"/>
          <w:color w:val="000000" w:themeColor="text1"/>
          <w:sz w:val="24"/>
          <w:szCs w:val="24"/>
        </w:rPr>
        <w:t>, firm leverage, firm size, firm book-to</w:t>
      </w:r>
      <w:r w:rsidR="006B4691" w:rsidRPr="000F7038">
        <w:rPr>
          <w:rFonts w:ascii="Times New Roman" w:hAnsi="Times New Roman" w:cs="Times New Roman"/>
          <w:color w:val="000000" w:themeColor="text1"/>
          <w:sz w:val="24"/>
          <w:szCs w:val="24"/>
        </w:rPr>
        <w:t>-</w:t>
      </w:r>
      <w:r w:rsidRPr="000F7038">
        <w:rPr>
          <w:rFonts w:ascii="Times New Roman" w:hAnsi="Times New Roman" w:cs="Times New Roman"/>
          <w:color w:val="000000" w:themeColor="text1"/>
          <w:sz w:val="24"/>
          <w:szCs w:val="24"/>
        </w:rPr>
        <w:t>market ratio)</w:t>
      </w:r>
    </w:p>
    <w:p w14:paraId="59815721" w14:textId="40397805" w:rsidR="00EE4186" w:rsidRPr="000F7038" w:rsidRDefault="00EE4186" w:rsidP="006E01D2">
      <w:pPr>
        <w:pStyle w:val="ListParagraph"/>
        <w:tabs>
          <w:tab w:val="left" w:pos="810"/>
        </w:tabs>
        <w:spacing w:after="0" w:line="240" w:lineRule="auto"/>
        <w:ind w:left="0"/>
        <w:rPr>
          <w:rFonts w:ascii="Times New Roman" w:hAnsi="Times New Roman" w:cs="Times New Roman"/>
          <w:color w:val="000000" w:themeColor="text1"/>
          <w:sz w:val="24"/>
          <w:szCs w:val="24"/>
        </w:rPr>
      </w:pPr>
    </w:p>
    <w:p w14:paraId="453C9139" w14:textId="77777777" w:rsidR="005364B4" w:rsidRPr="000F7038" w:rsidRDefault="00EE4186" w:rsidP="006E01D2">
      <w:pPr>
        <w:pStyle w:val="ListParagraph"/>
        <w:tabs>
          <w:tab w:val="left" w:pos="810"/>
        </w:tabs>
        <w:spacing w:after="0" w:line="240" w:lineRule="auto"/>
        <w:ind w:left="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Full Model</w:t>
      </w:r>
      <w:r w:rsidRPr="000F7038">
        <w:rPr>
          <w:rFonts w:ascii="Times New Roman" w:hAnsi="Times New Roman" w:cs="Times New Roman"/>
          <w:color w:val="000000" w:themeColor="text1"/>
          <w:sz w:val="24"/>
          <w:szCs w:val="24"/>
        </w:rPr>
        <w:t>：</w:t>
      </w:r>
    </w:p>
    <w:p w14:paraId="3CE3A92E" w14:textId="77777777" w:rsidR="005364B4" w:rsidRPr="000F7038" w:rsidRDefault="005364B4" w:rsidP="006E01D2">
      <w:pPr>
        <w:pStyle w:val="ListParagraph"/>
        <w:tabs>
          <w:tab w:val="left" w:pos="810"/>
        </w:tabs>
        <w:spacing w:after="0" w:line="240" w:lineRule="auto"/>
        <w:ind w:left="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ab/>
      </w:r>
    </w:p>
    <w:p w14:paraId="21D6EF1F" w14:textId="04DE0DE6" w:rsidR="00EE4186" w:rsidRPr="000F7038" w:rsidRDefault="005364B4" w:rsidP="006E01D2">
      <w:pPr>
        <w:pStyle w:val="ListParagraph"/>
        <w:tabs>
          <w:tab w:val="left" w:pos="810"/>
        </w:tabs>
        <w:spacing w:after="0" w:line="240" w:lineRule="auto"/>
        <w:ind w:left="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ab/>
      </w:r>
      <w:r w:rsidR="00EE4186" w:rsidRPr="000F7038">
        <w:rPr>
          <w:rFonts w:ascii="Cambria Math" w:hAnsi="Cambria Math" w:cs="Cambria Math"/>
          <w:color w:val="000000" w:themeColor="text1"/>
          <w:sz w:val="24"/>
          <w:szCs w:val="24"/>
        </w:rPr>
        <w:t>𝑺𝑷𝑹𝑬𝑨𝑫</w:t>
      </w:r>
      <w:r w:rsidRPr="000F7038">
        <w:rPr>
          <w:rFonts w:ascii="Times New Roman" w:hAnsi="Times New Roman" w:cs="Times New Roman"/>
          <w:color w:val="000000" w:themeColor="text1"/>
          <w:sz w:val="24"/>
          <w:szCs w:val="24"/>
        </w:rPr>
        <w:t xml:space="preserve"> </w:t>
      </w:r>
      <w:r w:rsidR="00EE4186" w:rsidRPr="000F7038">
        <w:rPr>
          <w:rFonts w:ascii="Times New Roman" w:hAnsi="Times New Roman" w:cs="Times New Roman"/>
          <w:color w:val="000000" w:themeColor="text1"/>
          <w:sz w:val="24"/>
          <w:szCs w:val="24"/>
        </w:rPr>
        <w:t xml:space="preserve">= </w:t>
      </w:r>
      <w:proofErr w:type="gramStart"/>
      <w:r w:rsidR="00EE4186" w:rsidRPr="000F7038">
        <w:rPr>
          <w:rFonts w:ascii="Cambria Math" w:hAnsi="Cambria Math" w:cs="Cambria Math"/>
          <w:color w:val="000000" w:themeColor="text1"/>
          <w:sz w:val="24"/>
          <w:szCs w:val="24"/>
        </w:rPr>
        <w:t>𝜶</w:t>
      </w:r>
      <w:r w:rsidR="00EE4186" w:rsidRPr="000F7038">
        <w:rPr>
          <w:rFonts w:ascii="Cambria Math" w:hAnsi="Cambria Math" w:cs="Cambria Math"/>
          <w:color w:val="000000" w:themeColor="text1"/>
          <w:sz w:val="24"/>
          <w:szCs w:val="24"/>
          <w:vertAlign w:val="subscript"/>
        </w:rPr>
        <w:t>𝒊</w:t>
      </w:r>
      <w:r w:rsidR="00EE4186" w:rsidRPr="000F7038">
        <w:rPr>
          <w:rFonts w:ascii="Times New Roman" w:hAnsi="Times New Roman" w:cs="Times New Roman"/>
          <w:color w:val="000000" w:themeColor="text1"/>
          <w:sz w:val="24"/>
          <w:szCs w:val="24"/>
          <w:vertAlign w:val="subscript"/>
        </w:rPr>
        <w:t>,</w:t>
      </w:r>
      <w:r w:rsidR="00EE4186" w:rsidRPr="000F7038">
        <w:rPr>
          <w:rFonts w:ascii="Cambria Math" w:hAnsi="Cambria Math" w:cs="Cambria Math"/>
          <w:color w:val="000000" w:themeColor="text1"/>
          <w:sz w:val="24"/>
          <w:szCs w:val="24"/>
          <w:vertAlign w:val="subscript"/>
        </w:rPr>
        <w:t>𝒕</w:t>
      </w:r>
      <w:proofErr w:type="gramEnd"/>
      <w:r w:rsidR="00EE4186" w:rsidRPr="000F7038">
        <w:rPr>
          <w:rFonts w:ascii="Times New Roman" w:hAnsi="Times New Roman" w:cs="Times New Roman"/>
          <w:color w:val="000000" w:themeColor="text1"/>
          <w:sz w:val="24"/>
          <w:szCs w:val="24"/>
        </w:rPr>
        <w:t xml:space="preserve">+ </w:t>
      </w:r>
      <w:r w:rsidR="00EE4186" w:rsidRPr="000F7038">
        <w:rPr>
          <w:rFonts w:ascii="Cambria Math" w:hAnsi="Cambria Math" w:cs="Cambria Math"/>
          <w:color w:val="000000" w:themeColor="text1"/>
          <w:sz w:val="24"/>
          <w:szCs w:val="24"/>
        </w:rPr>
        <w:t>𝜷</w:t>
      </w:r>
      <w:r w:rsidRPr="000F7038">
        <w:rPr>
          <w:rFonts w:ascii="Times New Roman" w:hAnsi="Times New Roman" w:cs="Times New Roman"/>
          <w:color w:val="000000" w:themeColor="text1"/>
          <w:sz w:val="24"/>
          <w:szCs w:val="24"/>
          <w:vertAlign w:val="subscript"/>
        </w:rPr>
        <w:t>1</w:t>
      </w:r>
      <w:r w:rsidR="00EE4186" w:rsidRPr="000F7038">
        <w:rPr>
          <w:rFonts w:ascii="Cambria Math" w:hAnsi="Cambria Math" w:cs="Cambria Math"/>
          <w:color w:val="000000" w:themeColor="text1"/>
          <w:sz w:val="24"/>
          <w:szCs w:val="24"/>
        </w:rPr>
        <w:t>𝑬𝑫</w:t>
      </w:r>
      <w:r w:rsidR="00EE4186" w:rsidRPr="000F7038">
        <w:rPr>
          <w:rFonts w:ascii="Cambria Math" w:hAnsi="Cambria Math" w:cs="Cambria Math"/>
          <w:color w:val="000000" w:themeColor="text1"/>
          <w:sz w:val="24"/>
          <w:szCs w:val="24"/>
          <w:vertAlign w:val="subscript"/>
        </w:rPr>
        <w:t>𝒊</w:t>
      </w:r>
      <w:r w:rsidR="00EE4186" w:rsidRPr="000F7038">
        <w:rPr>
          <w:rFonts w:ascii="Times New Roman" w:hAnsi="Times New Roman" w:cs="Times New Roman"/>
          <w:color w:val="000000" w:themeColor="text1"/>
          <w:sz w:val="24"/>
          <w:szCs w:val="24"/>
          <w:vertAlign w:val="subscript"/>
        </w:rPr>
        <w:t>,</w:t>
      </w:r>
      <w:r w:rsidR="00EE4186" w:rsidRPr="000F7038">
        <w:rPr>
          <w:rFonts w:ascii="Cambria Math" w:hAnsi="Cambria Math" w:cs="Cambria Math"/>
          <w:color w:val="000000" w:themeColor="text1"/>
          <w:sz w:val="24"/>
          <w:szCs w:val="24"/>
          <w:vertAlign w:val="subscript"/>
        </w:rPr>
        <w:t>𝒕</w:t>
      </w:r>
      <w:r w:rsidR="00EE4186" w:rsidRPr="000F7038">
        <w:rPr>
          <w:rFonts w:ascii="Times New Roman" w:hAnsi="Times New Roman" w:cs="Times New Roman"/>
          <w:color w:val="000000" w:themeColor="text1"/>
          <w:sz w:val="24"/>
          <w:szCs w:val="24"/>
        </w:rPr>
        <w:t xml:space="preserve">+ </w:t>
      </w:r>
      <w:r w:rsidR="00EE4186" w:rsidRPr="000F7038">
        <w:rPr>
          <w:rFonts w:ascii="Cambria Math" w:hAnsi="Cambria Math" w:cs="Cambria Math"/>
          <w:color w:val="000000" w:themeColor="text1"/>
          <w:sz w:val="24"/>
          <w:szCs w:val="24"/>
        </w:rPr>
        <w:t>𝜷</w:t>
      </w:r>
      <w:r w:rsidRPr="000F7038">
        <w:rPr>
          <w:rFonts w:ascii="Times New Roman" w:hAnsi="Times New Roman" w:cs="Times New Roman"/>
          <w:color w:val="000000" w:themeColor="text1"/>
          <w:sz w:val="24"/>
          <w:szCs w:val="24"/>
          <w:vertAlign w:val="subscript"/>
        </w:rPr>
        <w:t>2</w:t>
      </w:r>
      <w:r w:rsidR="00EE4186" w:rsidRPr="000F7038">
        <w:rPr>
          <w:rFonts w:ascii="Cambria Math" w:hAnsi="Cambria Math" w:cs="Cambria Math"/>
          <w:color w:val="000000" w:themeColor="text1"/>
          <w:sz w:val="24"/>
          <w:szCs w:val="24"/>
        </w:rPr>
        <w:t>𝑳𝑬𝑽</w:t>
      </w:r>
      <w:r w:rsidR="00EE4186" w:rsidRPr="000F7038">
        <w:rPr>
          <w:rFonts w:ascii="Cambria Math" w:hAnsi="Cambria Math" w:cs="Cambria Math"/>
          <w:color w:val="000000" w:themeColor="text1"/>
          <w:sz w:val="24"/>
          <w:szCs w:val="24"/>
          <w:vertAlign w:val="subscript"/>
        </w:rPr>
        <w:t>𝒊</w:t>
      </w:r>
      <w:r w:rsidR="00EE4186" w:rsidRPr="000F7038">
        <w:rPr>
          <w:rFonts w:ascii="Times New Roman" w:hAnsi="Times New Roman" w:cs="Times New Roman"/>
          <w:color w:val="000000" w:themeColor="text1"/>
          <w:sz w:val="24"/>
          <w:szCs w:val="24"/>
          <w:vertAlign w:val="subscript"/>
        </w:rPr>
        <w:t>,</w:t>
      </w:r>
      <w:r w:rsidR="00EE4186" w:rsidRPr="000F7038">
        <w:rPr>
          <w:rFonts w:ascii="Cambria Math" w:hAnsi="Cambria Math" w:cs="Cambria Math"/>
          <w:color w:val="000000" w:themeColor="text1"/>
          <w:sz w:val="24"/>
          <w:szCs w:val="24"/>
          <w:vertAlign w:val="subscript"/>
        </w:rPr>
        <w:t>𝒕</w:t>
      </w:r>
      <w:r w:rsidR="00EE4186" w:rsidRPr="000F7038">
        <w:rPr>
          <w:rFonts w:ascii="Times New Roman" w:hAnsi="Times New Roman" w:cs="Times New Roman"/>
          <w:color w:val="000000" w:themeColor="text1"/>
          <w:sz w:val="24"/>
          <w:szCs w:val="24"/>
          <w:vertAlign w:val="subscript"/>
        </w:rPr>
        <w:t xml:space="preserve"> </w:t>
      </w:r>
      <w:r w:rsidR="00EE4186" w:rsidRPr="000F7038">
        <w:rPr>
          <w:rFonts w:ascii="Times New Roman" w:hAnsi="Times New Roman" w:cs="Times New Roman"/>
          <w:color w:val="000000" w:themeColor="text1"/>
          <w:sz w:val="24"/>
          <w:szCs w:val="24"/>
        </w:rPr>
        <w:t xml:space="preserve">+ </w:t>
      </w:r>
      <w:r w:rsidR="00EE4186" w:rsidRPr="000F7038">
        <w:rPr>
          <w:rFonts w:ascii="Cambria Math" w:hAnsi="Cambria Math" w:cs="Cambria Math"/>
          <w:color w:val="000000" w:themeColor="text1"/>
          <w:sz w:val="24"/>
          <w:szCs w:val="24"/>
        </w:rPr>
        <w:t>𝜷</w:t>
      </w:r>
      <w:r w:rsidRPr="000F7038">
        <w:rPr>
          <w:rFonts w:ascii="Times New Roman" w:hAnsi="Times New Roman" w:cs="Times New Roman"/>
          <w:color w:val="000000" w:themeColor="text1"/>
          <w:sz w:val="24"/>
          <w:szCs w:val="24"/>
          <w:vertAlign w:val="subscript"/>
        </w:rPr>
        <w:t>3</w:t>
      </w:r>
      <w:r w:rsidR="00EE4186" w:rsidRPr="000F7038">
        <w:rPr>
          <w:rFonts w:ascii="Cambria Math" w:hAnsi="Cambria Math" w:cs="Cambria Math"/>
          <w:color w:val="000000" w:themeColor="text1"/>
          <w:sz w:val="24"/>
          <w:szCs w:val="24"/>
        </w:rPr>
        <w:t>𝑳𝑺𝑰𝒁𝑬</w:t>
      </w:r>
      <w:r w:rsidR="00EE4186" w:rsidRPr="000F7038">
        <w:rPr>
          <w:rFonts w:ascii="Cambria Math" w:hAnsi="Cambria Math" w:cs="Cambria Math"/>
          <w:color w:val="000000" w:themeColor="text1"/>
          <w:sz w:val="24"/>
          <w:szCs w:val="24"/>
          <w:vertAlign w:val="subscript"/>
        </w:rPr>
        <w:t>𝒊</w:t>
      </w:r>
      <w:r w:rsidR="00EE4186" w:rsidRPr="000F7038">
        <w:rPr>
          <w:rFonts w:ascii="Times New Roman" w:hAnsi="Times New Roman" w:cs="Times New Roman"/>
          <w:color w:val="000000" w:themeColor="text1"/>
          <w:sz w:val="24"/>
          <w:szCs w:val="24"/>
          <w:vertAlign w:val="subscript"/>
        </w:rPr>
        <w:t>,</w:t>
      </w:r>
      <w:r w:rsidR="00EE4186" w:rsidRPr="000F7038">
        <w:rPr>
          <w:rFonts w:ascii="Cambria Math" w:hAnsi="Cambria Math" w:cs="Cambria Math"/>
          <w:color w:val="000000" w:themeColor="text1"/>
          <w:sz w:val="24"/>
          <w:szCs w:val="24"/>
          <w:vertAlign w:val="subscript"/>
        </w:rPr>
        <w:t>𝒕</w:t>
      </w:r>
      <w:r w:rsidR="00EE4186" w:rsidRPr="000F7038">
        <w:rPr>
          <w:rFonts w:ascii="Times New Roman" w:hAnsi="Times New Roman" w:cs="Times New Roman"/>
          <w:color w:val="000000" w:themeColor="text1"/>
          <w:sz w:val="24"/>
          <w:szCs w:val="24"/>
          <w:vertAlign w:val="subscript"/>
        </w:rPr>
        <w:t xml:space="preserve"> </w:t>
      </w:r>
      <w:r w:rsidR="00EE4186" w:rsidRPr="000F7038">
        <w:rPr>
          <w:rFonts w:ascii="Times New Roman" w:hAnsi="Times New Roman" w:cs="Times New Roman"/>
          <w:color w:val="000000" w:themeColor="text1"/>
          <w:sz w:val="24"/>
          <w:szCs w:val="24"/>
        </w:rPr>
        <w:t xml:space="preserve">+ </w:t>
      </w:r>
      <w:r w:rsidR="00EE4186" w:rsidRPr="000F7038">
        <w:rPr>
          <w:rFonts w:ascii="Cambria Math" w:hAnsi="Cambria Math" w:cs="Cambria Math"/>
          <w:color w:val="000000" w:themeColor="text1"/>
          <w:sz w:val="24"/>
          <w:szCs w:val="24"/>
        </w:rPr>
        <w:t>𝜷</w:t>
      </w:r>
      <w:r w:rsidRPr="000F7038">
        <w:rPr>
          <w:rFonts w:ascii="Times New Roman" w:hAnsi="Times New Roman" w:cs="Times New Roman"/>
          <w:color w:val="000000" w:themeColor="text1"/>
          <w:sz w:val="24"/>
          <w:szCs w:val="24"/>
          <w:vertAlign w:val="subscript"/>
        </w:rPr>
        <w:t>4</w:t>
      </w:r>
      <w:r w:rsidR="00EE4186" w:rsidRPr="000F7038">
        <w:rPr>
          <w:rFonts w:ascii="Cambria Math" w:hAnsi="Cambria Math" w:cs="Cambria Math"/>
          <w:color w:val="000000" w:themeColor="text1"/>
          <w:sz w:val="24"/>
          <w:szCs w:val="24"/>
        </w:rPr>
        <w:t>𝑩𝑻𝑴𝑲</w:t>
      </w:r>
      <w:r w:rsidR="00EE4186" w:rsidRPr="000F7038">
        <w:rPr>
          <w:rFonts w:ascii="Cambria Math" w:hAnsi="Cambria Math" w:cs="Cambria Math"/>
          <w:color w:val="000000" w:themeColor="text1"/>
          <w:sz w:val="24"/>
          <w:szCs w:val="24"/>
          <w:vertAlign w:val="subscript"/>
        </w:rPr>
        <w:t>𝒊</w:t>
      </w:r>
      <w:r w:rsidR="00EE4186" w:rsidRPr="000F7038">
        <w:rPr>
          <w:rFonts w:ascii="Times New Roman" w:hAnsi="Times New Roman" w:cs="Times New Roman"/>
          <w:color w:val="000000" w:themeColor="text1"/>
          <w:sz w:val="24"/>
          <w:szCs w:val="24"/>
          <w:vertAlign w:val="subscript"/>
        </w:rPr>
        <w:t>,</w:t>
      </w:r>
      <w:r w:rsidR="00EE4186" w:rsidRPr="000F7038">
        <w:rPr>
          <w:rFonts w:ascii="Cambria Math" w:hAnsi="Cambria Math" w:cs="Cambria Math"/>
          <w:color w:val="000000" w:themeColor="text1"/>
          <w:sz w:val="24"/>
          <w:szCs w:val="24"/>
          <w:vertAlign w:val="subscript"/>
        </w:rPr>
        <w:t>𝒕</w:t>
      </w:r>
      <w:r w:rsidR="00EE4186" w:rsidRPr="000F7038">
        <w:rPr>
          <w:rFonts w:ascii="Times New Roman" w:hAnsi="Times New Roman" w:cs="Times New Roman"/>
          <w:color w:val="000000" w:themeColor="text1"/>
          <w:sz w:val="24"/>
          <w:szCs w:val="24"/>
          <w:vertAlign w:val="subscript"/>
        </w:rPr>
        <w:t xml:space="preserve"> </w:t>
      </w:r>
      <w:r w:rsidR="00EE4186" w:rsidRPr="000F7038">
        <w:rPr>
          <w:rFonts w:ascii="Times New Roman" w:hAnsi="Times New Roman" w:cs="Times New Roman"/>
          <w:color w:val="000000" w:themeColor="text1"/>
          <w:sz w:val="24"/>
          <w:szCs w:val="24"/>
        </w:rPr>
        <w:t>+</w:t>
      </w:r>
      <w:r w:rsidR="00EE4186" w:rsidRPr="000F7038">
        <w:rPr>
          <w:rFonts w:ascii="Cambria Math" w:hAnsi="Cambria Math" w:cs="Cambria Math"/>
          <w:color w:val="000000" w:themeColor="text1"/>
          <w:sz w:val="24"/>
          <w:szCs w:val="24"/>
        </w:rPr>
        <w:t>𝜺</w:t>
      </w:r>
      <w:r w:rsidR="00EE4186" w:rsidRPr="000F7038">
        <w:rPr>
          <w:rFonts w:ascii="Cambria Math" w:hAnsi="Cambria Math" w:cs="Cambria Math"/>
          <w:color w:val="000000" w:themeColor="text1"/>
          <w:sz w:val="24"/>
          <w:szCs w:val="24"/>
          <w:vertAlign w:val="subscript"/>
        </w:rPr>
        <w:t>𝒊</w:t>
      </w:r>
      <w:r w:rsidR="00EE4186" w:rsidRPr="000F7038">
        <w:rPr>
          <w:rFonts w:ascii="Times New Roman" w:hAnsi="Times New Roman" w:cs="Times New Roman"/>
          <w:color w:val="000000" w:themeColor="text1"/>
          <w:sz w:val="24"/>
          <w:szCs w:val="24"/>
          <w:vertAlign w:val="subscript"/>
        </w:rPr>
        <w:t>,</w:t>
      </w:r>
      <w:r w:rsidR="00EE4186" w:rsidRPr="000F7038">
        <w:rPr>
          <w:rFonts w:ascii="Cambria Math" w:hAnsi="Cambria Math" w:cs="Cambria Math"/>
          <w:color w:val="000000" w:themeColor="text1"/>
          <w:sz w:val="24"/>
          <w:szCs w:val="24"/>
          <w:vertAlign w:val="subscript"/>
        </w:rPr>
        <w:t>𝒕</w:t>
      </w:r>
    </w:p>
    <w:p w14:paraId="288861FB" w14:textId="1323954E" w:rsidR="00EE4186" w:rsidRPr="000F7038" w:rsidRDefault="00EE4186" w:rsidP="006E01D2">
      <w:pPr>
        <w:pStyle w:val="ListParagraph"/>
        <w:tabs>
          <w:tab w:val="left" w:pos="810"/>
        </w:tabs>
        <w:spacing w:after="0" w:line="240" w:lineRule="auto"/>
        <w:ind w:left="0"/>
        <w:jc w:val="both"/>
        <w:rPr>
          <w:rFonts w:ascii="Times New Roman" w:hAnsi="Times New Roman" w:cs="Times New Roman"/>
          <w:color w:val="000000" w:themeColor="text1"/>
          <w:sz w:val="24"/>
          <w:szCs w:val="24"/>
        </w:rPr>
      </w:pPr>
    </w:p>
    <w:p w14:paraId="1FEFC067" w14:textId="6F2D82F7" w:rsidR="006B4691" w:rsidRPr="000F7038" w:rsidRDefault="00EE4186" w:rsidP="006E01D2">
      <w:pPr>
        <w:pStyle w:val="ListParagraph"/>
        <w:tabs>
          <w:tab w:val="left" w:pos="810"/>
        </w:tabs>
        <w:spacing w:after="0" w:line="240" w:lineRule="auto"/>
        <w:ind w:left="36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Where: -</w:t>
      </w:r>
    </w:p>
    <w:p w14:paraId="40064294" w14:textId="4B35038D" w:rsidR="005364B4" w:rsidRPr="000F7038" w:rsidRDefault="005364B4" w:rsidP="006E01D2">
      <w:pPr>
        <w:pStyle w:val="ListParagraph"/>
        <w:tabs>
          <w:tab w:val="left" w:pos="810"/>
        </w:tabs>
        <w:spacing w:after="0" w:line="240" w:lineRule="auto"/>
        <w:ind w:left="360"/>
        <w:jc w:val="both"/>
        <w:rPr>
          <w:rFonts w:ascii="Times New Roman" w:hAnsi="Times New Roman" w:cs="Times New Roman"/>
          <w:color w:val="000000" w:themeColor="text1"/>
          <w:sz w:val="24"/>
          <w:szCs w:val="24"/>
        </w:rPr>
      </w:pPr>
    </w:p>
    <w:tbl>
      <w:tblPr>
        <w:tblStyle w:val="TableGrid0"/>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352"/>
        <w:gridCol w:w="6691"/>
      </w:tblGrid>
      <w:tr w:rsidR="000F7038" w:rsidRPr="000F7038" w14:paraId="54FC82FA" w14:textId="77777777" w:rsidTr="000F7038">
        <w:tc>
          <w:tcPr>
            <w:tcW w:w="651" w:type="dxa"/>
          </w:tcPr>
          <w:p w14:paraId="25E4BEB0" w14:textId="0135BB81" w:rsidR="005364B4" w:rsidRPr="000F7038" w:rsidRDefault="005364B4" w:rsidP="006E01D2">
            <w:pPr>
              <w:pStyle w:val="ListParagraph"/>
              <w:tabs>
                <w:tab w:val="left" w:pos="810"/>
              </w:tabs>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SPREAD</w:t>
            </w:r>
          </w:p>
        </w:tc>
        <w:tc>
          <w:tcPr>
            <w:tcW w:w="341" w:type="dxa"/>
          </w:tcPr>
          <w:p w14:paraId="53743E80" w14:textId="62289594" w:rsidR="005364B4" w:rsidRPr="000F7038" w:rsidRDefault="005364B4" w:rsidP="006E01D2">
            <w:pPr>
              <w:pStyle w:val="ListParagraph"/>
              <w:tabs>
                <w:tab w:val="left" w:pos="810"/>
              </w:tabs>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w:t>
            </w:r>
          </w:p>
        </w:tc>
        <w:tc>
          <w:tcPr>
            <w:tcW w:w="7178" w:type="dxa"/>
          </w:tcPr>
          <w:p w14:paraId="2D8EA92A" w14:textId="75350099" w:rsidR="005364B4" w:rsidRPr="000F7038" w:rsidRDefault="005364B4" w:rsidP="006E01D2">
            <w:pPr>
              <w:pStyle w:val="ListParagraph"/>
              <w:tabs>
                <w:tab w:val="left" w:pos="810"/>
              </w:tabs>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Bid-ask spread</w:t>
            </w:r>
          </w:p>
        </w:tc>
      </w:tr>
      <w:tr w:rsidR="000F7038" w:rsidRPr="000F7038" w14:paraId="5006EFCB" w14:textId="77777777" w:rsidTr="000F7038">
        <w:tc>
          <w:tcPr>
            <w:tcW w:w="651" w:type="dxa"/>
          </w:tcPr>
          <w:p w14:paraId="76399F09" w14:textId="324CB72F" w:rsidR="005364B4" w:rsidRPr="000F7038" w:rsidRDefault="005364B4" w:rsidP="006E01D2">
            <w:pPr>
              <w:pStyle w:val="ListParagraph"/>
              <w:tabs>
                <w:tab w:val="left" w:pos="810"/>
              </w:tabs>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ED</w:t>
            </w:r>
          </w:p>
        </w:tc>
        <w:tc>
          <w:tcPr>
            <w:tcW w:w="341" w:type="dxa"/>
          </w:tcPr>
          <w:p w14:paraId="1B9723E4" w14:textId="49FF3006" w:rsidR="005364B4" w:rsidRPr="000F7038" w:rsidRDefault="005364B4" w:rsidP="006E01D2">
            <w:pPr>
              <w:pStyle w:val="ListParagraph"/>
              <w:tabs>
                <w:tab w:val="left" w:pos="810"/>
              </w:tabs>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w:t>
            </w:r>
          </w:p>
        </w:tc>
        <w:tc>
          <w:tcPr>
            <w:tcW w:w="7178" w:type="dxa"/>
          </w:tcPr>
          <w:p w14:paraId="1048B2FB" w14:textId="06933679" w:rsidR="005364B4" w:rsidRPr="000F7038" w:rsidRDefault="005364B4" w:rsidP="006E01D2">
            <w:pPr>
              <w:pStyle w:val="ListParagraph"/>
              <w:tabs>
                <w:tab w:val="left" w:pos="810"/>
              </w:tabs>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Environmental disclosure</w:t>
            </w:r>
          </w:p>
        </w:tc>
      </w:tr>
      <w:tr w:rsidR="000F7038" w:rsidRPr="000F7038" w14:paraId="3D6695C2" w14:textId="77777777" w:rsidTr="000F7038">
        <w:tc>
          <w:tcPr>
            <w:tcW w:w="651" w:type="dxa"/>
          </w:tcPr>
          <w:p w14:paraId="618AF137" w14:textId="501008F1" w:rsidR="005364B4" w:rsidRPr="000F7038" w:rsidRDefault="005364B4" w:rsidP="006E01D2">
            <w:pPr>
              <w:pStyle w:val="ListParagraph"/>
              <w:tabs>
                <w:tab w:val="left" w:pos="810"/>
              </w:tabs>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LEV</w:t>
            </w:r>
          </w:p>
        </w:tc>
        <w:tc>
          <w:tcPr>
            <w:tcW w:w="341" w:type="dxa"/>
          </w:tcPr>
          <w:p w14:paraId="2A54C5B7" w14:textId="1233F127" w:rsidR="005364B4" w:rsidRPr="000F7038" w:rsidRDefault="005364B4" w:rsidP="006E01D2">
            <w:pPr>
              <w:pStyle w:val="ListParagraph"/>
              <w:tabs>
                <w:tab w:val="left" w:pos="810"/>
              </w:tabs>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w:t>
            </w:r>
          </w:p>
        </w:tc>
        <w:tc>
          <w:tcPr>
            <w:tcW w:w="7178" w:type="dxa"/>
          </w:tcPr>
          <w:p w14:paraId="1131C531" w14:textId="7CFC0D87" w:rsidR="005364B4" w:rsidRPr="000F7038" w:rsidRDefault="005364B4" w:rsidP="006E01D2">
            <w:pPr>
              <w:pStyle w:val="ListParagraph"/>
              <w:tabs>
                <w:tab w:val="left" w:pos="810"/>
              </w:tabs>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Firm leverage</w:t>
            </w:r>
          </w:p>
        </w:tc>
      </w:tr>
      <w:tr w:rsidR="000F7038" w:rsidRPr="000F7038" w14:paraId="0DC123EC" w14:textId="77777777" w:rsidTr="000F7038">
        <w:tc>
          <w:tcPr>
            <w:tcW w:w="651" w:type="dxa"/>
          </w:tcPr>
          <w:p w14:paraId="1DB14490" w14:textId="78012FF9" w:rsidR="005364B4" w:rsidRPr="000F7038" w:rsidRDefault="005364B4" w:rsidP="006E01D2">
            <w:pPr>
              <w:pStyle w:val="ListParagraph"/>
              <w:tabs>
                <w:tab w:val="left" w:pos="810"/>
              </w:tabs>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LSIZE</w:t>
            </w:r>
          </w:p>
        </w:tc>
        <w:tc>
          <w:tcPr>
            <w:tcW w:w="341" w:type="dxa"/>
          </w:tcPr>
          <w:p w14:paraId="34A009E0" w14:textId="609A4F94" w:rsidR="005364B4" w:rsidRPr="000F7038" w:rsidRDefault="005364B4" w:rsidP="006E01D2">
            <w:pPr>
              <w:pStyle w:val="ListParagraph"/>
              <w:tabs>
                <w:tab w:val="left" w:pos="810"/>
              </w:tabs>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w:t>
            </w:r>
          </w:p>
        </w:tc>
        <w:tc>
          <w:tcPr>
            <w:tcW w:w="7178" w:type="dxa"/>
          </w:tcPr>
          <w:p w14:paraId="7AA7ADBD" w14:textId="63527B7A" w:rsidR="005364B4" w:rsidRPr="000F7038" w:rsidRDefault="00AF4DE8" w:rsidP="006E01D2">
            <w:pPr>
              <w:pStyle w:val="ListParagraph"/>
              <w:tabs>
                <w:tab w:val="left" w:pos="810"/>
              </w:tabs>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Firm Size</w:t>
            </w:r>
            <w:r w:rsidR="005364B4" w:rsidRPr="000F7038">
              <w:rPr>
                <w:rFonts w:ascii="Times New Roman" w:hAnsi="Times New Roman" w:cs="Times New Roman"/>
                <w:color w:val="000000" w:themeColor="text1"/>
                <w:sz w:val="24"/>
                <w:szCs w:val="24"/>
              </w:rPr>
              <w:t xml:space="preserve">  </w:t>
            </w:r>
          </w:p>
        </w:tc>
      </w:tr>
      <w:tr w:rsidR="000F7038" w:rsidRPr="000F7038" w14:paraId="516BFFC9" w14:textId="77777777" w:rsidTr="000F7038">
        <w:tc>
          <w:tcPr>
            <w:tcW w:w="651" w:type="dxa"/>
          </w:tcPr>
          <w:p w14:paraId="7A822C36" w14:textId="7304F180" w:rsidR="005364B4" w:rsidRPr="000F7038" w:rsidRDefault="005364B4" w:rsidP="006E01D2">
            <w:pPr>
              <w:pStyle w:val="ListParagraph"/>
              <w:tabs>
                <w:tab w:val="left" w:pos="810"/>
              </w:tabs>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BTMK</w:t>
            </w:r>
          </w:p>
        </w:tc>
        <w:tc>
          <w:tcPr>
            <w:tcW w:w="341" w:type="dxa"/>
          </w:tcPr>
          <w:p w14:paraId="6EE6FFE3" w14:textId="3AF60C74" w:rsidR="005364B4" w:rsidRPr="000F7038" w:rsidRDefault="005364B4" w:rsidP="006E01D2">
            <w:pPr>
              <w:pStyle w:val="ListParagraph"/>
              <w:tabs>
                <w:tab w:val="left" w:pos="810"/>
              </w:tabs>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w:t>
            </w:r>
          </w:p>
        </w:tc>
        <w:tc>
          <w:tcPr>
            <w:tcW w:w="7178" w:type="dxa"/>
          </w:tcPr>
          <w:p w14:paraId="2EF39370" w14:textId="6EA50B22" w:rsidR="005364B4" w:rsidRPr="000F7038" w:rsidRDefault="005364B4" w:rsidP="006E01D2">
            <w:pPr>
              <w:pStyle w:val="ListParagraph"/>
              <w:tabs>
                <w:tab w:val="left" w:pos="810"/>
              </w:tabs>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Book-to market ratio</w:t>
            </w:r>
          </w:p>
        </w:tc>
      </w:tr>
      <w:tr w:rsidR="000F7038" w:rsidRPr="000F7038" w14:paraId="0471FD22" w14:textId="77777777" w:rsidTr="000F7038">
        <w:tc>
          <w:tcPr>
            <w:tcW w:w="651" w:type="dxa"/>
          </w:tcPr>
          <w:p w14:paraId="7BB70619" w14:textId="3D100B7B" w:rsidR="000F7038" w:rsidRPr="000F7038" w:rsidRDefault="000F7038" w:rsidP="006E01D2">
            <w:pPr>
              <w:pStyle w:val="ListParagraph"/>
              <w:tabs>
                <w:tab w:val="left" w:pos="810"/>
              </w:tabs>
              <w:ind w:left="0"/>
              <w:jc w:val="both"/>
              <w:rPr>
                <w:rFonts w:ascii="Times New Roman" w:hAnsi="Times New Roman" w:cs="Times New Roman"/>
                <w:color w:val="000000" w:themeColor="text1"/>
                <w:sz w:val="24"/>
                <w:szCs w:val="24"/>
                <w:vertAlign w:val="subscript"/>
              </w:rPr>
            </w:pPr>
            <w:proofErr w:type="spellStart"/>
            <w:r w:rsidRPr="000F7038">
              <w:rPr>
                <w:rFonts w:ascii="Times New Roman" w:hAnsi="Times New Roman" w:cs="Times New Roman"/>
                <w:color w:val="000000" w:themeColor="text1"/>
                <w:sz w:val="24"/>
                <w:szCs w:val="24"/>
                <w:vertAlign w:val="subscript"/>
              </w:rPr>
              <w:lastRenderedPageBreak/>
              <w:t>i</w:t>
            </w:r>
            <w:proofErr w:type="spellEnd"/>
          </w:p>
        </w:tc>
        <w:tc>
          <w:tcPr>
            <w:tcW w:w="341" w:type="dxa"/>
          </w:tcPr>
          <w:p w14:paraId="3771F4C7" w14:textId="17E5DCDD" w:rsidR="000F7038" w:rsidRPr="000F7038" w:rsidRDefault="000F7038" w:rsidP="006E01D2">
            <w:pPr>
              <w:pStyle w:val="ListParagraph"/>
              <w:tabs>
                <w:tab w:val="left" w:pos="810"/>
              </w:tabs>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7178" w:type="dxa"/>
          </w:tcPr>
          <w:p w14:paraId="29C84E56" w14:textId="36F46CB7" w:rsidR="000F7038" w:rsidRPr="000F7038" w:rsidRDefault="000F7038" w:rsidP="006E01D2">
            <w:pPr>
              <w:pStyle w:val="ListParagraph"/>
              <w:tabs>
                <w:tab w:val="left" w:pos="810"/>
              </w:tabs>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firms</w:t>
            </w:r>
          </w:p>
        </w:tc>
      </w:tr>
      <w:tr w:rsidR="000F7038" w:rsidRPr="000F7038" w14:paraId="5B53E89F" w14:textId="77777777" w:rsidTr="000F7038">
        <w:tc>
          <w:tcPr>
            <w:tcW w:w="651" w:type="dxa"/>
          </w:tcPr>
          <w:p w14:paraId="762CD6CC" w14:textId="2B9540DB" w:rsidR="000F7038" w:rsidRPr="000F7038" w:rsidRDefault="000F7038" w:rsidP="006E01D2">
            <w:pPr>
              <w:pStyle w:val="ListParagraph"/>
              <w:tabs>
                <w:tab w:val="left" w:pos="810"/>
              </w:tabs>
              <w:ind w:left="0"/>
              <w:jc w:val="both"/>
              <w:rPr>
                <w:rFonts w:ascii="Times New Roman" w:hAnsi="Times New Roman" w:cs="Times New Roman"/>
                <w:color w:val="000000" w:themeColor="text1"/>
                <w:sz w:val="24"/>
                <w:szCs w:val="24"/>
                <w:vertAlign w:val="subscript"/>
              </w:rPr>
            </w:pPr>
            <w:r w:rsidRPr="000F7038">
              <w:rPr>
                <w:rFonts w:ascii="Times New Roman" w:hAnsi="Times New Roman" w:cs="Times New Roman"/>
                <w:color w:val="000000" w:themeColor="text1"/>
                <w:sz w:val="24"/>
                <w:szCs w:val="24"/>
                <w:vertAlign w:val="subscript"/>
              </w:rPr>
              <w:t>t</w:t>
            </w:r>
          </w:p>
        </w:tc>
        <w:tc>
          <w:tcPr>
            <w:tcW w:w="341" w:type="dxa"/>
          </w:tcPr>
          <w:p w14:paraId="313957CE" w14:textId="6856D2D0" w:rsidR="000F7038" w:rsidRPr="000F7038" w:rsidRDefault="000F7038" w:rsidP="006E01D2">
            <w:pPr>
              <w:pStyle w:val="ListParagraph"/>
              <w:tabs>
                <w:tab w:val="left" w:pos="810"/>
              </w:tabs>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7178" w:type="dxa"/>
          </w:tcPr>
          <w:p w14:paraId="7FEA51E0" w14:textId="2B080BB0" w:rsidR="000F7038" w:rsidRPr="000F7038" w:rsidRDefault="000F7038" w:rsidP="006E01D2">
            <w:pPr>
              <w:pStyle w:val="ListParagraph"/>
              <w:tabs>
                <w:tab w:val="left" w:pos="810"/>
              </w:tabs>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time</w:t>
            </w:r>
          </w:p>
        </w:tc>
      </w:tr>
      <w:tr w:rsidR="000F7038" w:rsidRPr="000F7038" w14:paraId="29A8EA38" w14:textId="77777777" w:rsidTr="000F7038">
        <w:tc>
          <w:tcPr>
            <w:tcW w:w="651" w:type="dxa"/>
          </w:tcPr>
          <w:p w14:paraId="3063730A" w14:textId="3B404184" w:rsidR="005364B4" w:rsidRPr="000F7038" w:rsidRDefault="005364B4" w:rsidP="006E01D2">
            <w:pPr>
              <w:pStyle w:val="ListParagraph"/>
              <w:tabs>
                <w:tab w:val="left" w:pos="810"/>
              </w:tabs>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ε</w:t>
            </w:r>
          </w:p>
        </w:tc>
        <w:tc>
          <w:tcPr>
            <w:tcW w:w="341" w:type="dxa"/>
          </w:tcPr>
          <w:p w14:paraId="72411754" w14:textId="2B1E3D72" w:rsidR="005364B4" w:rsidRPr="000F7038" w:rsidRDefault="005364B4" w:rsidP="006E01D2">
            <w:pPr>
              <w:pStyle w:val="ListParagraph"/>
              <w:tabs>
                <w:tab w:val="left" w:pos="810"/>
              </w:tabs>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w:t>
            </w:r>
          </w:p>
        </w:tc>
        <w:tc>
          <w:tcPr>
            <w:tcW w:w="7178" w:type="dxa"/>
          </w:tcPr>
          <w:p w14:paraId="4628E368" w14:textId="4EDA1AC9" w:rsidR="005364B4" w:rsidRPr="000F7038" w:rsidRDefault="005364B4" w:rsidP="006E01D2">
            <w:pPr>
              <w:pStyle w:val="ListParagraph"/>
              <w:tabs>
                <w:tab w:val="left" w:pos="810"/>
              </w:tabs>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Disturbance</w:t>
            </w:r>
          </w:p>
        </w:tc>
      </w:tr>
    </w:tbl>
    <w:p w14:paraId="4BD6259E" w14:textId="77777777" w:rsidR="005364B4" w:rsidRPr="000F7038" w:rsidRDefault="005364B4" w:rsidP="006E01D2">
      <w:pPr>
        <w:pStyle w:val="ListParagraph"/>
        <w:tabs>
          <w:tab w:val="left" w:pos="810"/>
        </w:tabs>
        <w:spacing w:after="0" w:line="240" w:lineRule="auto"/>
        <w:ind w:left="360"/>
        <w:jc w:val="both"/>
        <w:rPr>
          <w:rFonts w:ascii="Times New Roman" w:hAnsi="Times New Roman" w:cs="Times New Roman"/>
          <w:color w:val="000000" w:themeColor="text1"/>
          <w:sz w:val="24"/>
          <w:szCs w:val="24"/>
        </w:rPr>
      </w:pPr>
    </w:p>
    <w:p w14:paraId="7465DC93" w14:textId="6804C59A" w:rsidR="00576D34" w:rsidRPr="000F7038" w:rsidRDefault="006E01D2" w:rsidP="006E01D2">
      <w:pPr>
        <w:pStyle w:val="ListParagraph"/>
        <w:numPr>
          <w:ilvl w:val="0"/>
          <w:numId w:val="1"/>
        </w:numPr>
        <w:spacing w:after="0" w:line="240" w:lineRule="auto"/>
        <w:ind w:left="360" w:hanging="218"/>
        <w:jc w:val="both"/>
        <w:rPr>
          <w:rFonts w:ascii="Times New Roman" w:hAnsi="Times New Roman" w:cs="Times New Roman"/>
          <w:b/>
          <w:bCs/>
          <w:color w:val="000000" w:themeColor="text1"/>
          <w:sz w:val="24"/>
          <w:szCs w:val="24"/>
        </w:rPr>
      </w:pPr>
      <w:r w:rsidRPr="000F7038">
        <w:rPr>
          <w:rFonts w:ascii="Times New Roman" w:hAnsi="Times New Roman" w:cs="Times New Roman"/>
          <w:b/>
          <w:bCs/>
          <w:color w:val="000000" w:themeColor="text1"/>
          <w:sz w:val="24"/>
          <w:szCs w:val="24"/>
        </w:rPr>
        <w:t xml:space="preserve"> </w:t>
      </w:r>
      <w:r w:rsidR="00576D34" w:rsidRPr="000F7038">
        <w:rPr>
          <w:rFonts w:ascii="Times New Roman" w:hAnsi="Times New Roman" w:cs="Times New Roman"/>
          <w:b/>
          <w:bCs/>
          <w:color w:val="000000" w:themeColor="text1"/>
          <w:sz w:val="24"/>
          <w:szCs w:val="24"/>
        </w:rPr>
        <w:t>Results and Discussion</w:t>
      </w:r>
    </w:p>
    <w:p w14:paraId="4CAC233A" w14:textId="1CB0B266" w:rsidR="00576D34" w:rsidRPr="000F7038" w:rsidRDefault="00880B73" w:rsidP="006E01D2">
      <w:pPr>
        <w:pStyle w:val="ListParagraph"/>
        <w:numPr>
          <w:ilvl w:val="1"/>
          <w:numId w:val="1"/>
        </w:numPr>
        <w:spacing w:after="0" w:line="240" w:lineRule="auto"/>
        <w:ind w:left="540"/>
        <w:rPr>
          <w:rFonts w:ascii="Times New Roman" w:hAnsi="Times New Roman" w:cs="Times New Roman"/>
          <w:i/>
          <w:iCs/>
          <w:color w:val="000000" w:themeColor="text1"/>
          <w:sz w:val="24"/>
          <w:szCs w:val="24"/>
        </w:rPr>
      </w:pPr>
      <w:r w:rsidRPr="000F7038">
        <w:rPr>
          <w:rFonts w:ascii="Times New Roman" w:hAnsi="Times New Roman" w:cs="Times New Roman"/>
          <w:i/>
          <w:iCs/>
          <w:color w:val="000000" w:themeColor="text1"/>
          <w:sz w:val="24"/>
          <w:szCs w:val="24"/>
        </w:rPr>
        <w:t>Descriptive Stati</w:t>
      </w:r>
      <w:r w:rsidR="00157236" w:rsidRPr="000F7038">
        <w:rPr>
          <w:rFonts w:ascii="Times New Roman" w:hAnsi="Times New Roman" w:cs="Times New Roman"/>
          <w:i/>
          <w:iCs/>
          <w:color w:val="000000" w:themeColor="text1"/>
          <w:sz w:val="24"/>
          <w:szCs w:val="24"/>
        </w:rPr>
        <w:t>stic</w:t>
      </w:r>
      <w:r w:rsidR="003D7336" w:rsidRPr="000F7038">
        <w:rPr>
          <w:rFonts w:ascii="Times New Roman" w:hAnsi="Times New Roman" w:cs="Times New Roman"/>
          <w:i/>
          <w:iCs/>
          <w:color w:val="000000" w:themeColor="text1"/>
          <w:sz w:val="24"/>
          <w:szCs w:val="24"/>
        </w:rPr>
        <w:t>s</w:t>
      </w:r>
    </w:p>
    <w:p w14:paraId="7D22147E" w14:textId="3E5C7551" w:rsidR="003D7336" w:rsidRPr="000F7038" w:rsidRDefault="003D7336" w:rsidP="006E01D2">
      <w:pPr>
        <w:pStyle w:val="ListParagraph"/>
        <w:spacing w:after="0" w:line="240" w:lineRule="auto"/>
        <w:ind w:left="18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Table 1 presented the descriptive statistic of individual sample for all the variables of this study. The table have shown all the variable’s mean, median, maximum value, minimum value, standard deviation and the number observation that contain in this research. Stock market liquidity </w:t>
      </w:r>
      <w:r w:rsidR="00B63B4A" w:rsidRPr="000F7038">
        <w:rPr>
          <w:rFonts w:ascii="Times New Roman" w:hAnsi="Times New Roman" w:cs="Times New Roman"/>
          <w:color w:val="000000" w:themeColor="text1"/>
          <w:sz w:val="24"/>
          <w:szCs w:val="24"/>
        </w:rPr>
        <w:t>in</w:t>
      </w:r>
      <w:r w:rsidRPr="000F7038">
        <w:rPr>
          <w:rFonts w:ascii="Times New Roman" w:hAnsi="Times New Roman" w:cs="Times New Roman"/>
          <w:color w:val="000000" w:themeColor="text1"/>
          <w:sz w:val="24"/>
          <w:szCs w:val="24"/>
        </w:rPr>
        <w:t xml:space="preserve"> the research’s dependent variables was investigated in term of bid-ask spread (SPREAD) that calculated by </w:t>
      </w:r>
      <w:r w:rsidR="001961AF" w:rsidRPr="000F7038">
        <w:rPr>
          <w:rFonts w:ascii="Times New Roman" w:hAnsi="Times New Roman" w:cs="Times New Roman"/>
          <w:color w:val="000000" w:themeColor="text1"/>
          <w:sz w:val="24"/>
          <w:szCs w:val="24"/>
        </w:rPr>
        <w:t>subtraction</w:t>
      </w:r>
      <w:r w:rsidRPr="000F7038">
        <w:rPr>
          <w:rFonts w:ascii="Times New Roman" w:hAnsi="Times New Roman" w:cs="Times New Roman"/>
          <w:color w:val="000000" w:themeColor="text1"/>
          <w:sz w:val="24"/>
          <w:szCs w:val="24"/>
        </w:rPr>
        <w:t xml:space="preserve"> between the ask price and bid price of the year 2016. The Table 1 shown that the average of SPREAD of the 456 companies </w:t>
      </w:r>
      <w:r w:rsidR="00B63B4A" w:rsidRPr="000F7038">
        <w:rPr>
          <w:rFonts w:ascii="Times New Roman" w:hAnsi="Times New Roman" w:cs="Times New Roman"/>
          <w:color w:val="000000" w:themeColor="text1"/>
          <w:sz w:val="24"/>
          <w:szCs w:val="24"/>
        </w:rPr>
        <w:t xml:space="preserve">from range of </w:t>
      </w:r>
      <w:r w:rsidRPr="000F7038">
        <w:rPr>
          <w:rFonts w:ascii="Times New Roman" w:hAnsi="Times New Roman" w:cs="Times New Roman"/>
          <w:color w:val="000000" w:themeColor="text1"/>
          <w:sz w:val="24"/>
          <w:szCs w:val="24"/>
        </w:rPr>
        <w:t xml:space="preserve">maximum value </w:t>
      </w:r>
      <w:r w:rsidR="00B63B4A" w:rsidRPr="000F7038">
        <w:rPr>
          <w:rFonts w:ascii="Times New Roman" w:hAnsi="Times New Roman" w:cs="Times New Roman"/>
          <w:color w:val="000000" w:themeColor="text1"/>
          <w:sz w:val="24"/>
          <w:szCs w:val="24"/>
        </w:rPr>
        <w:t>of 1.584856</w:t>
      </w:r>
      <w:r w:rsidRPr="000F7038">
        <w:rPr>
          <w:rFonts w:ascii="Times New Roman" w:hAnsi="Times New Roman" w:cs="Times New Roman"/>
          <w:color w:val="000000" w:themeColor="text1"/>
          <w:sz w:val="24"/>
          <w:szCs w:val="24"/>
        </w:rPr>
        <w:t xml:space="preserve"> and minimum value </w:t>
      </w:r>
      <w:r w:rsidR="00B63B4A" w:rsidRPr="000F7038">
        <w:rPr>
          <w:rFonts w:ascii="Times New Roman" w:hAnsi="Times New Roman" w:cs="Times New Roman"/>
          <w:color w:val="000000" w:themeColor="text1"/>
          <w:sz w:val="24"/>
          <w:szCs w:val="24"/>
        </w:rPr>
        <w:t>0.001960</w:t>
      </w:r>
      <w:r w:rsidRPr="000F7038">
        <w:rPr>
          <w:rFonts w:ascii="Times New Roman" w:hAnsi="Times New Roman" w:cs="Times New Roman"/>
          <w:color w:val="000000" w:themeColor="text1"/>
          <w:sz w:val="24"/>
          <w:szCs w:val="24"/>
        </w:rPr>
        <w:t xml:space="preserve">. </w:t>
      </w:r>
    </w:p>
    <w:p w14:paraId="33B17B11" w14:textId="37773412" w:rsidR="00A178D4" w:rsidRPr="000F7038" w:rsidRDefault="003D7336" w:rsidP="006E01D2">
      <w:pPr>
        <w:pStyle w:val="ListParagraph"/>
        <w:spacing w:after="0" w:line="240" w:lineRule="auto"/>
        <w:ind w:left="180" w:firstLine="36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Moreover, </w:t>
      </w:r>
      <w:r w:rsidR="000D368E" w:rsidRPr="000F7038">
        <w:rPr>
          <w:rFonts w:ascii="Times New Roman" w:hAnsi="Times New Roman" w:cs="Times New Roman"/>
          <w:color w:val="000000" w:themeColor="text1"/>
          <w:sz w:val="24"/>
          <w:szCs w:val="24"/>
        </w:rPr>
        <w:t>e</w:t>
      </w:r>
      <w:r w:rsidRPr="000F7038">
        <w:rPr>
          <w:rFonts w:ascii="Times New Roman" w:hAnsi="Times New Roman" w:cs="Times New Roman"/>
          <w:color w:val="000000" w:themeColor="text1"/>
          <w:sz w:val="24"/>
          <w:szCs w:val="24"/>
        </w:rPr>
        <w:t>nvironmental disclosure (ED) in the research was measured by using content analysis of word counts. The frequency of words that appeared in the 2016 annual report were counted. The words that used to count such as “energ</w:t>
      </w:r>
      <w:r w:rsidR="00C61A3C" w:rsidRPr="000F7038">
        <w:rPr>
          <w:rFonts w:ascii="Times New Roman" w:hAnsi="Times New Roman" w:cs="Times New Roman"/>
          <w:color w:val="000000" w:themeColor="text1"/>
          <w:sz w:val="24"/>
          <w:szCs w:val="24"/>
        </w:rPr>
        <w:t>y</w:t>
      </w:r>
      <w:r w:rsidRPr="000F7038">
        <w:rPr>
          <w:rFonts w:ascii="Times New Roman" w:hAnsi="Times New Roman" w:cs="Times New Roman"/>
          <w:color w:val="000000" w:themeColor="text1"/>
          <w:sz w:val="24"/>
          <w:szCs w:val="24"/>
        </w:rPr>
        <w:t>”, “</w:t>
      </w:r>
      <w:r w:rsidR="00C61A3C" w:rsidRPr="000F7038">
        <w:rPr>
          <w:rFonts w:ascii="Times New Roman" w:hAnsi="Times New Roman" w:cs="Times New Roman"/>
          <w:color w:val="000000" w:themeColor="text1"/>
          <w:sz w:val="24"/>
          <w:szCs w:val="24"/>
        </w:rPr>
        <w:t>electricity</w:t>
      </w:r>
      <w:r w:rsidRPr="000F7038">
        <w:rPr>
          <w:rFonts w:ascii="Times New Roman" w:hAnsi="Times New Roman" w:cs="Times New Roman"/>
          <w:color w:val="000000" w:themeColor="text1"/>
          <w:sz w:val="24"/>
          <w:szCs w:val="24"/>
        </w:rPr>
        <w:t>”, “water”, “</w:t>
      </w:r>
      <w:r w:rsidR="00C61A3C" w:rsidRPr="000F7038">
        <w:rPr>
          <w:rFonts w:ascii="Times New Roman" w:hAnsi="Times New Roman" w:cs="Times New Roman"/>
          <w:color w:val="000000" w:themeColor="text1"/>
          <w:sz w:val="24"/>
          <w:szCs w:val="24"/>
        </w:rPr>
        <w:t>biodiversity</w:t>
      </w:r>
      <w:r w:rsidRPr="000F7038">
        <w:rPr>
          <w:rFonts w:ascii="Times New Roman" w:hAnsi="Times New Roman" w:cs="Times New Roman"/>
          <w:color w:val="000000" w:themeColor="text1"/>
          <w:sz w:val="24"/>
          <w:szCs w:val="24"/>
        </w:rPr>
        <w:t>”, “emission”, “effluent”, “waste</w:t>
      </w:r>
      <w:r w:rsidR="00C61A3C" w:rsidRPr="000F7038">
        <w:rPr>
          <w:rFonts w:ascii="Times New Roman" w:hAnsi="Times New Roman" w:cs="Times New Roman"/>
          <w:color w:val="000000" w:themeColor="text1"/>
          <w:sz w:val="24"/>
          <w:szCs w:val="24"/>
        </w:rPr>
        <w:t>”,</w:t>
      </w:r>
      <w:r w:rsidRPr="000F7038">
        <w:rPr>
          <w:rFonts w:ascii="Times New Roman" w:hAnsi="Times New Roman" w:cs="Times New Roman"/>
          <w:color w:val="000000" w:themeColor="text1"/>
          <w:sz w:val="24"/>
          <w:szCs w:val="24"/>
        </w:rPr>
        <w:t xml:space="preserve"> “recycl</w:t>
      </w:r>
      <w:r w:rsidR="00C61A3C" w:rsidRPr="000F7038">
        <w:rPr>
          <w:rFonts w:ascii="Times New Roman" w:hAnsi="Times New Roman" w:cs="Times New Roman"/>
          <w:color w:val="000000" w:themeColor="text1"/>
          <w:sz w:val="24"/>
          <w:szCs w:val="24"/>
        </w:rPr>
        <w:t>e</w:t>
      </w:r>
      <w:r w:rsidRPr="000F7038">
        <w:rPr>
          <w:rFonts w:ascii="Times New Roman" w:hAnsi="Times New Roman" w:cs="Times New Roman"/>
          <w:color w:val="000000" w:themeColor="text1"/>
          <w:sz w:val="24"/>
          <w:szCs w:val="24"/>
        </w:rPr>
        <w:t>”, “reus</w:t>
      </w:r>
      <w:r w:rsidR="00C61A3C" w:rsidRPr="000F7038">
        <w:rPr>
          <w:rFonts w:ascii="Times New Roman" w:hAnsi="Times New Roman" w:cs="Times New Roman"/>
          <w:color w:val="000000" w:themeColor="text1"/>
          <w:sz w:val="24"/>
          <w:szCs w:val="24"/>
        </w:rPr>
        <w:t>e</w:t>
      </w:r>
      <w:r w:rsidRPr="000F7038">
        <w:rPr>
          <w:rFonts w:ascii="Times New Roman" w:hAnsi="Times New Roman" w:cs="Times New Roman"/>
          <w:color w:val="000000" w:themeColor="text1"/>
          <w:sz w:val="24"/>
          <w:szCs w:val="24"/>
        </w:rPr>
        <w:t>”, “</w:t>
      </w:r>
      <w:r w:rsidR="00EE3F5C">
        <w:rPr>
          <w:rFonts w:ascii="Times New Roman" w:hAnsi="Times New Roman" w:cs="Times New Roman"/>
          <w:color w:val="000000" w:themeColor="text1"/>
          <w:sz w:val="24"/>
          <w:szCs w:val="24"/>
        </w:rPr>
        <w:t>s</w:t>
      </w:r>
      <w:r w:rsidRPr="000F7038">
        <w:rPr>
          <w:rFonts w:ascii="Times New Roman" w:hAnsi="Times New Roman" w:cs="Times New Roman"/>
          <w:color w:val="000000" w:themeColor="text1"/>
          <w:sz w:val="24"/>
          <w:szCs w:val="24"/>
        </w:rPr>
        <w:t>pill”, “environmental” and “</w:t>
      </w:r>
      <w:r w:rsidR="00C61A3C" w:rsidRPr="000F7038">
        <w:rPr>
          <w:rFonts w:ascii="Times New Roman" w:hAnsi="Times New Roman" w:cs="Times New Roman"/>
          <w:color w:val="000000" w:themeColor="text1"/>
          <w:sz w:val="24"/>
          <w:szCs w:val="24"/>
        </w:rPr>
        <w:t>environmental management system”. As</w:t>
      </w:r>
      <w:r w:rsidRPr="000F7038">
        <w:rPr>
          <w:rFonts w:ascii="Times New Roman" w:hAnsi="Times New Roman" w:cs="Times New Roman"/>
          <w:color w:val="000000" w:themeColor="text1"/>
          <w:sz w:val="24"/>
          <w:szCs w:val="24"/>
        </w:rPr>
        <w:t xml:space="preserve"> a </w:t>
      </w:r>
      <w:r w:rsidR="00C61A3C" w:rsidRPr="000F7038">
        <w:rPr>
          <w:rFonts w:ascii="Times New Roman" w:hAnsi="Times New Roman" w:cs="Times New Roman"/>
          <w:color w:val="000000" w:themeColor="text1"/>
          <w:sz w:val="24"/>
          <w:szCs w:val="24"/>
        </w:rPr>
        <w:t>result</w:t>
      </w:r>
      <w:r w:rsidRPr="000F7038">
        <w:rPr>
          <w:rFonts w:ascii="Times New Roman" w:hAnsi="Times New Roman" w:cs="Times New Roman"/>
          <w:color w:val="000000" w:themeColor="text1"/>
          <w:sz w:val="24"/>
          <w:szCs w:val="24"/>
        </w:rPr>
        <w:t xml:space="preserve">, the mean of disclosure of environmental </w:t>
      </w:r>
      <w:r w:rsidR="00C61A3C" w:rsidRPr="000F7038">
        <w:rPr>
          <w:rFonts w:ascii="Times New Roman" w:hAnsi="Times New Roman" w:cs="Times New Roman"/>
          <w:color w:val="000000" w:themeColor="text1"/>
          <w:sz w:val="24"/>
          <w:szCs w:val="24"/>
        </w:rPr>
        <w:t>information was</w:t>
      </w:r>
      <w:r w:rsidRPr="000F7038">
        <w:rPr>
          <w:rFonts w:ascii="Times New Roman" w:hAnsi="Times New Roman" w:cs="Times New Roman"/>
          <w:color w:val="000000" w:themeColor="text1"/>
          <w:sz w:val="24"/>
          <w:szCs w:val="24"/>
        </w:rPr>
        <w:t xml:space="preserve"> 23.480</w:t>
      </w:r>
      <w:r w:rsidR="00D5470B" w:rsidRPr="000F7038">
        <w:rPr>
          <w:rFonts w:ascii="Times New Roman" w:hAnsi="Times New Roman" w:cs="Times New Roman"/>
          <w:color w:val="000000" w:themeColor="text1"/>
          <w:sz w:val="24"/>
          <w:szCs w:val="24"/>
        </w:rPr>
        <w:t>26</w:t>
      </w:r>
      <w:r w:rsidRPr="000F7038">
        <w:rPr>
          <w:rFonts w:ascii="Times New Roman" w:hAnsi="Times New Roman" w:cs="Times New Roman"/>
          <w:color w:val="000000" w:themeColor="text1"/>
          <w:sz w:val="24"/>
          <w:szCs w:val="24"/>
        </w:rPr>
        <w:t xml:space="preserve"> words</w:t>
      </w:r>
      <w:r w:rsidR="00B63B4A" w:rsidRPr="000F7038">
        <w:rPr>
          <w:rFonts w:ascii="Times New Roman" w:hAnsi="Times New Roman" w:cs="Times New Roman"/>
          <w:color w:val="000000" w:themeColor="text1"/>
          <w:sz w:val="24"/>
          <w:szCs w:val="24"/>
        </w:rPr>
        <w:t xml:space="preserve"> which mean that average companies disclose 23</w:t>
      </w:r>
      <w:r w:rsidR="00C61A3C" w:rsidRPr="000F7038">
        <w:rPr>
          <w:rFonts w:ascii="Times New Roman" w:hAnsi="Times New Roman" w:cs="Times New Roman"/>
          <w:color w:val="000000" w:themeColor="text1"/>
          <w:sz w:val="24"/>
          <w:szCs w:val="24"/>
        </w:rPr>
        <w:t xml:space="preserve"> to </w:t>
      </w:r>
      <w:r w:rsidR="00B63B4A" w:rsidRPr="000F7038">
        <w:rPr>
          <w:rFonts w:ascii="Times New Roman" w:hAnsi="Times New Roman" w:cs="Times New Roman"/>
          <w:color w:val="000000" w:themeColor="text1"/>
          <w:sz w:val="24"/>
          <w:szCs w:val="24"/>
        </w:rPr>
        <w:t>24 words related with environmental disclosure in the annual report</w:t>
      </w:r>
      <w:r w:rsidRPr="000F7038">
        <w:rPr>
          <w:rFonts w:ascii="Times New Roman" w:hAnsi="Times New Roman" w:cs="Times New Roman"/>
          <w:color w:val="000000" w:themeColor="text1"/>
          <w:sz w:val="24"/>
          <w:szCs w:val="24"/>
        </w:rPr>
        <w:t xml:space="preserve">. Next, firm leverage (LEV) which measured by total debt to total equity that have a mean of </w:t>
      </w:r>
      <w:r w:rsidR="00C61A3C" w:rsidRPr="000F7038">
        <w:rPr>
          <w:rFonts w:ascii="Times New Roman" w:hAnsi="Times New Roman" w:cs="Times New Roman"/>
          <w:color w:val="000000" w:themeColor="text1"/>
          <w:sz w:val="24"/>
          <w:szCs w:val="24"/>
        </w:rPr>
        <w:t>42.93%.</w:t>
      </w:r>
      <w:r w:rsidRPr="000F7038">
        <w:rPr>
          <w:rFonts w:ascii="Times New Roman" w:hAnsi="Times New Roman" w:cs="Times New Roman"/>
          <w:color w:val="000000" w:themeColor="text1"/>
          <w:sz w:val="24"/>
          <w:szCs w:val="24"/>
        </w:rPr>
        <w:t xml:space="preserve"> Furthermore, firm size (LSIZE) was calculated by the natural logarithm of the firm’s market capitalization that have the highest number </w:t>
      </w:r>
      <w:r w:rsidR="00C61A3C" w:rsidRPr="000F7038">
        <w:rPr>
          <w:rFonts w:ascii="Times New Roman" w:hAnsi="Times New Roman" w:cs="Times New Roman"/>
          <w:color w:val="000000" w:themeColor="text1"/>
          <w:sz w:val="24"/>
          <w:szCs w:val="24"/>
        </w:rPr>
        <w:t>is 25.61288</w:t>
      </w:r>
      <w:r w:rsidRPr="000F7038">
        <w:rPr>
          <w:rFonts w:ascii="Times New Roman" w:hAnsi="Times New Roman" w:cs="Times New Roman"/>
          <w:color w:val="000000" w:themeColor="text1"/>
          <w:sz w:val="24"/>
          <w:szCs w:val="24"/>
        </w:rPr>
        <w:t xml:space="preserve"> and the lowest number </w:t>
      </w:r>
      <w:r w:rsidR="00C61A3C" w:rsidRPr="000F7038">
        <w:rPr>
          <w:rFonts w:ascii="Times New Roman" w:hAnsi="Times New Roman" w:cs="Times New Roman"/>
          <w:color w:val="000000" w:themeColor="text1"/>
          <w:sz w:val="24"/>
          <w:szCs w:val="24"/>
        </w:rPr>
        <w:t xml:space="preserve">is </w:t>
      </w:r>
      <w:r w:rsidRPr="000F7038">
        <w:rPr>
          <w:rFonts w:ascii="Times New Roman" w:hAnsi="Times New Roman" w:cs="Times New Roman"/>
          <w:color w:val="000000" w:themeColor="text1"/>
          <w:sz w:val="24"/>
          <w:szCs w:val="24"/>
        </w:rPr>
        <w:t>15.47</w:t>
      </w:r>
      <w:r w:rsidR="00D5470B" w:rsidRPr="000F7038">
        <w:rPr>
          <w:rFonts w:ascii="Times New Roman" w:hAnsi="Times New Roman" w:cs="Times New Roman"/>
          <w:color w:val="000000" w:themeColor="text1"/>
          <w:sz w:val="24"/>
          <w:szCs w:val="24"/>
        </w:rPr>
        <w:t>376</w:t>
      </w:r>
      <w:r w:rsidRPr="000F7038">
        <w:rPr>
          <w:rFonts w:ascii="Times New Roman" w:hAnsi="Times New Roman" w:cs="Times New Roman"/>
          <w:color w:val="000000" w:themeColor="text1"/>
          <w:sz w:val="24"/>
          <w:szCs w:val="24"/>
        </w:rPr>
        <w:t xml:space="preserve">. </w:t>
      </w:r>
      <w:r w:rsidR="00C61A3C" w:rsidRPr="000F7038">
        <w:rPr>
          <w:rFonts w:ascii="Times New Roman" w:hAnsi="Times New Roman" w:cs="Times New Roman"/>
          <w:color w:val="000000" w:themeColor="text1"/>
          <w:sz w:val="24"/>
          <w:szCs w:val="24"/>
        </w:rPr>
        <w:t>Finally</w:t>
      </w:r>
      <w:r w:rsidRPr="000F7038">
        <w:rPr>
          <w:rFonts w:ascii="Times New Roman" w:hAnsi="Times New Roman" w:cs="Times New Roman"/>
          <w:color w:val="000000" w:themeColor="text1"/>
          <w:sz w:val="24"/>
          <w:szCs w:val="24"/>
        </w:rPr>
        <w:t xml:space="preserve">, book to market ratio that represented BTMK that </w:t>
      </w:r>
      <w:r w:rsidR="001961AF" w:rsidRPr="000F7038">
        <w:rPr>
          <w:rFonts w:ascii="Times New Roman" w:hAnsi="Times New Roman" w:cs="Times New Roman"/>
          <w:color w:val="000000" w:themeColor="text1"/>
          <w:sz w:val="24"/>
          <w:szCs w:val="24"/>
        </w:rPr>
        <w:t xml:space="preserve">is </w:t>
      </w:r>
      <w:r w:rsidRPr="000F7038">
        <w:rPr>
          <w:rFonts w:ascii="Times New Roman" w:hAnsi="Times New Roman" w:cs="Times New Roman"/>
          <w:color w:val="000000" w:themeColor="text1"/>
          <w:sz w:val="24"/>
          <w:szCs w:val="24"/>
        </w:rPr>
        <w:t>measured by division of common shareholder equity by market capitalization with a mean of 1.49 times</w:t>
      </w:r>
      <w:r w:rsidR="001961AF" w:rsidRPr="000F7038">
        <w:rPr>
          <w:rFonts w:ascii="Times New Roman" w:hAnsi="Times New Roman" w:cs="Times New Roman"/>
          <w:color w:val="000000" w:themeColor="text1"/>
          <w:sz w:val="24"/>
          <w:szCs w:val="24"/>
        </w:rPr>
        <w:t>. It</w:t>
      </w:r>
      <w:r w:rsidRPr="000F7038">
        <w:rPr>
          <w:rFonts w:ascii="Times New Roman" w:hAnsi="Times New Roman" w:cs="Times New Roman"/>
          <w:color w:val="000000" w:themeColor="text1"/>
          <w:sz w:val="24"/>
          <w:szCs w:val="24"/>
        </w:rPr>
        <w:t xml:space="preserve"> was calculated by common shareholder equity to market capitalization.  The BTMK ratio range was between 0.3</w:t>
      </w:r>
      <w:r w:rsidR="00D5470B" w:rsidRPr="000F7038">
        <w:rPr>
          <w:rFonts w:ascii="Times New Roman" w:hAnsi="Times New Roman" w:cs="Times New Roman"/>
          <w:color w:val="000000" w:themeColor="text1"/>
          <w:sz w:val="24"/>
          <w:szCs w:val="24"/>
        </w:rPr>
        <w:t>55279</w:t>
      </w:r>
      <w:r w:rsidRPr="000F7038">
        <w:rPr>
          <w:rFonts w:ascii="Times New Roman" w:hAnsi="Times New Roman" w:cs="Times New Roman"/>
          <w:color w:val="000000" w:themeColor="text1"/>
          <w:sz w:val="24"/>
          <w:szCs w:val="24"/>
        </w:rPr>
        <w:t xml:space="preserve"> to 28.3</w:t>
      </w:r>
      <w:r w:rsidR="00D5470B" w:rsidRPr="000F7038">
        <w:rPr>
          <w:rFonts w:ascii="Times New Roman" w:hAnsi="Times New Roman" w:cs="Times New Roman"/>
          <w:color w:val="000000" w:themeColor="text1"/>
          <w:sz w:val="24"/>
          <w:szCs w:val="24"/>
        </w:rPr>
        <w:t>4576</w:t>
      </w:r>
      <w:r w:rsidR="00C61A3C" w:rsidRPr="000F7038">
        <w:rPr>
          <w:rFonts w:ascii="Times New Roman" w:hAnsi="Times New Roman" w:cs="Times New Roman"/>
          <w:color w:val="000000" w:themeColor="text1"/>
          <w:sz w:val="24"/>
          <w:szCs w:val="24"/>
        </w:rPr>
        <w:t>.</w:t>
      </w:r>
    </w:p>
    <w:p w14:paraId="6F93B10B" w14:textId="77777777" w:rsidR="00777017" w:rsidRPr="000F7038" w:rsidRDefault="00777017" w:rsidP="006E01D2">
      <w:pPr>
        <w:pStyle w:val="ListParagraph"/>
        <w:spacing w:after="0" w:line="240" w:lineRule="auto"/>
        <w:ind w:left="540"/>
        <w:rPr>
          <w:rFonts w:ascii="Times New Roman" w:hAnsi="Times New Roman" w:cs="Times New Roman"/>
          <w:color w:val="000000" w:themeColor="text1"/>
          <w:sz w:val="24"/>
          <w:szCs w:val="24"/>
        </w:rPr>
      </w:pPr>
    </w:p>
    <w:p w14:paraId="339F9B15" w14:textId="67D4F3A3" w:rsidR="003D7336" w:rsidRPr="000F7038" w:rsidRDefault="003D7336" w:rsidP="006E01D2">
      <w:pPr>
        <w:pStyle w:val="ListParagraph"/>
        <w:spacing w:after="0" w:line="240" w:lineRule="auto"/>
        <w:ind w:left="540"/>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Table 1: Summary of Descriptive Statistics</w:t>
      </w:r>
    </w:p>
    <w:tbl>
      <w:tblPr>
        <w:tblStyle w:val="TableGrid0"/>
        <w:tblW w:w="0" w:type="auto"/>
        <w:tblInd w:w="54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1559"/>
        <w:gridCol w:w="1418"/>
        <w:gridCol w:w="1843"/>
        <w:gridCol w:w="2353"/>
      </w:tblGrid>
      <w:tr w:rsidR="000F7038" w:rsidRPr="000F7038" w14:paraId="4BD9634C" w14:textId="7A917498" w:rsidTr="00037B03">
        <w:tc>
          <w:tcPr>
            <w:tcW w:w="1303" w:type="dxa"/>
            <w:tcBorders>
              <w:top w:val="single" w:sz="4" w:space="0" w:color="auto"/>
              <w:bottom w:val="single" w:sz="4" w:space="0" w:color="auto"/>
            </w:tcBorders>
          </w:tcPr>
          <w:p w14:paraId="1FC95D9B" w14:textId="274C6BFA"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Variable</w:t>
            </w:r>
          </w:p>
        </w:tc>
        <w:tc>
          <w:tcPr>
            <w:tcW w:w="1559" w:type="dxa"/>
            <w:tcBorders>
              <w:top w:val="single" w:sz="4" w:space="0" w:color="auto"/>
              <w:bottom w:val="single" w:sz="4" w:space="0" w:color="auto"/>
            </w:tcBorders>
          </w:tcPr>
          <w:p w14:paraId="0B18B5F7" w14:textId="07532309"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Mean</w:t>
            </w:r>
          </w:p>
        </w:tc>
        <w:tc>
          <w:tcPr>
            <w:tcW w:w="1418" w:type="dxa"/>
            <w:tcBorders>
              <w:top w:val="single" w:sz="4" w:space="0" w:color="auto"/>
              <w:bottom w:val="single" w:sz="4" w:space="0" w:color="auto"/>
            </w:tcBorders>
          </w:tcPr>
          <w:p w14:paraId="4E09701D" w14:textId="21FC7B0E"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Min</w:t>
            </w:r>
          </w:p>
        </w:tc>
        <w:tc>
          <w:tcPr>
            <w:tcW w:w="1843" w:type="dxa"/>
            <w:tcBorders>
              <w:top w:val="single" w:sz="4" w:space="0" w:color="auto"/>
              <w:bottom w:val="single" w:sz="4" w:space="0" w:color="auto"/>
            </w:tcBorders>
          </w:tcPr>
          <w:p w14:paraId="5B1EE8E4" w14:textId="1AAAA6D6"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Max</w:t>
            </w:r>
          </w:p>
        </w:tc>
        <w:tc>
          <w:tcPr>
            <w:tcW w:w="2353" w:type="dxa"/>
            <w:tcBorders>
              <w:top w:val="single" w:sz="4" w:space="0" w:color="auto"/>
              <w:bottom w:val="single" w:sz="4" w:space="0" w:color="auto"/>
            </w:tcBorders>
          </w:tcPr>
          <w:p w14:paraId="3932EF18" w14:textId="1A010148"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Standard Deviation</w:t>
            </w:r>
          </w:p>
        </w:tc>
      </w:tr>
      <w:tr w:rsidR="000F7038" w:rsidRPr="000F7038" w14:paraId="07FBBAD3" w14:textId="720B50A5" w:rsidTr="00037B03">
        <w:tc>
          <w:tcPr>
            <w:tcW w:w="1303" w:type="dxa"/>
            <w:tcBorders>
              <w:top w:val="single" w:sz="4" w:space="0" w:color="auto"/>
              <w:bottom w:val="nil"/>
            </w:tcBorders>
          </w:tcPr>
          <w:p w14:paraId="6DC326BC" w14:textId="3B9B3F24"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eastAsia="Times New Roman" w:hAnsi="Times New Roman" w:cs="Times New Roman"/>
                <w:color w:val="000000" w:themeColor="text1"/>
                <w:sz w:val="24"/>
                <w:szCs w:val="24"/>
              </w:rPr>
              <w:t>SPREAD</w:t>
            </w:r>
          </w:p>
        </w:tc>
        <w:tc>
          <w:tcPr>
            <w:tcW w:w="1559" w:type="dxa"/>
            <w:tcBorders>
              <w:top w:val="single" w:sz="4" w:space="0" w:color="auto"/>
              <w:bottom w:val="nil"/>
            </w:tcBorders>
          </w:tcPr>
          <w:p w14:paraId="72B1E91D" w14:textId="65A2A2B4"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eastAsia="Times New Roman" w:hAnsi="Times New Roman" w:cs="Times New Roman"/>
                <w:color w:val="000000" w:themeColor="text1"/>
                <w:sz w:val="24"/>
                <w:szCs w:val="24"/>
              </w:rPr>
              <w:t>0.036878</w:t>
            </w:r>
          </w:p>
        </w:tc>
        <w:tc>
          <w:tcPr>
            <w:tcW w:w="1418" w:type="dxa"/>
            <w:tcBorders>
              <w:top w:val="single" w:sz="4" w:space="0" w:color="auto"/>
              <w:bottom w:val="nil"/>
            </w:tcBorders>
          </w:tcPr>
          <w:p w14:paraId="2E48F040" w14:textId="4AD5E1A4"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eastAsia="Times New Roman" w:hAnsi="Times New Roman" w:cs="Times New Roman"/>
                <w:color w:val="000000" w:themeColor="text1"/>
                <w:sz w:val="24"/>
                <w:szCs w:val="24"/>
              </w:rPr>
              <w:t>0.001960</w:t>
            </w:r>
          </w:p>
        </w:tc>
        <w:tc>
          <w:tcPr>
            <w:tcW w:w="1843" w:type="dxa"/>
            <w:tcBorders>
              <w:top w:val="single" w:sz="4" w:space="0" w:color="auto"/>
              <w:bottom w:val="nil"/>
            </w:tcBorders>
          </w:tcPr>
          <w:p w14:paraId="3F35A4B0" w14:textId="17399C35"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eastAsia="Times New Roman" w:hAnsi="Times New Roman" w:cs="Times New Roman"/>
                <w:color w:val="000000" w:themeColor="text1"/>
                <w:sz w:val="24"/>
                <w:szCs w:val="24"/>
              </w:rPr>
              <w:t>1.584856</w:t>
            </w:r>
          </w:p>
        </w:tc>
        <w:tc>
          <w:tcPr>
            <w:tcW w:w="2353" w:type="dxa"/>
            <w:tcBorders>
              <w:top w:val="single" w:sz="4" w:space="0" w:color="auto"/>
              <w:bottom w:val="nil"/>
            </w:tcBorders>
            <w:vAlign w:val="bottom"/>
          </w:tcPr>
          <w:p w14:paraId="3721BD7B" w14:textId="0FFBE45E" w:rsidR="00B63B4A" w:rsidRPr="000F7038" w:rsidRDefault="00B63B4A" w:rsidP="006E01D2">
            <w:pPr>
              <w:pStyle w:val="ListParagraph"/>
              <w:ind w:left="0"/>
              <w:jc w:val="center"/>
              <w:rPr>
                <w:rFonts w:ascii="Times New Roman" w:eastAsia="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lang w:val="ms-MY"/>
              </w:rPr>
              <w:t>0.093679</w:t>
            </w:r>
          </w:p>
        </w:tc>
      </w:tr>
      <w:tr w:rsidR="000F7038" w:rsidRPr="000F7038" w14:paraId="03CC5AC8" w14:textId="246EF51F" w:rsidTr="00037B03">
        <w:tc>
          <w:tcPr>
            <w:tcW w:w="1303" w:type="dxa"/>
            <w:tcBorders>
              <w:top w:val="nil"/>
              <w:left w:val="nil"/>
              <w:bottom w:val="nil"/>
              <w:right w:val="nil"/>
            </w:tcBorders>
          </w:tcPr>
          <w:p w14:paraId="5F3ADDAF" w14:textId="0473D185"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eastAsia="Times New Roman" w:hAnsi="Times New Roman" w:cs="Times New Roman"/>
                <w:color w:val="000000" w:themeColor="text1"/>
                <w:sz w:val="24"/>
                <w:szCs w:val="24"/>
              </w:rPr>
              <w:t>ED</w:t>
            </w:r>
          </w:p>
        </w:tc>
        <w:tc>
          <w:tcPr>
            <w:tcW w:w="1559" w:type="dxa"/>
            <w:tcBorders>
              <w:top w:val="nil"/>
              <w:left w:val="nil"/>
              <w:bottom w:val="nil"/>
              <w:right w:val="nil"/>
            </w:tcBorders>
          </w:tcPr>
          <w:p w14:paraId="705762C8" w14:textId="0879832F"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eastAsia="Times New Roman" w:hAnsi="Times New Roman" w:cs="Times New Roman"/>
                <w:color w:val="000000" w:themeColor="text1"/>
                <w:sz w:val="24"/>
                <w:szCs w:val="24"/>
              </w:rPr>
              <w:t>23.48026</w:t>
            </w:r>
          </w:p>
        </w:tc>
        <w:tc>
          <w:tcPr>
            <w:tcW w:w="1418" w:type="dxa"/>
            <w:tcBorders>
              <w:top w:val="nil"/>
              <w:left w:val="nil"/>
              <w:bottom w:val="nil"/>
              <w:right w:val="nil"/>
            </w:tcBorders>
          </w:tcPr>
          <w:p w14:paraId="6375752F" w14:textId="5EDA393D"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eastAsia="Times New Roman" w:hAnsi="Times New Roman" w:cs="Times New Roman"/>
                <w:color w:val="000000" w:themeColor="text1"/>
                <w:sz w:val="24"/>
                <w:szCs w:val="24"/>
              </w:rPr>
              <w:t>0.000000</w:t>
            </w:r>
          </w:p>
        </w:tc>
        <w:tc>
          <w:tcPr>
            <w:tcW w:w="1843" w:type="dxa"/>
            <w:tcBorders>
              <w:top w:val="nil"/>
              <w:left w:val="nil"/>
              <w:bottom w:val="nil"/>
              <w:right w:val="nil"/>
            </w:tcBorders>
          </w:tcPr>
          <w:p w14:paraId="2C1D86E2" w14:textId="4605264A"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eastAsia="Times New Roman" w:hAnsi="Times New Roman" w:cs="Times New Roman"/>
                <w:color w:val="000000" w:themeColor="text1"/>
                <w:sz w:val="24"/>
                <w:szCs w:val="24"/>
              </w:rPr>
              <w:t>543.0000</w:t>
            </w:r>
          </w:p>
        </w:tc>
        <w:tc>
          <w:tcPr>
            <w:tcW w:w="2353" w:type="dxa"/>
            <w:tcBorders>
              <w:top w:val="nil"/>
              <w:left w:val="nil"/>
              <w:bottom w:val="nil"/>
              <w:right w:val="nil"/>
            </w:tcBorders>
            <w:vAlign w:val="bottom"/>
          </w:tcPr>
          <w:p w14:paraId="4FBE6D25" w14:textId="4D7496E1" w:rsidR="00B63B4A" w:rsidRPr="000F7038" w:rsidRDefault="00B63B4A" w:rsidP="006E01D2">
            <w:pPr>
              <w:pStyle w:val="ListParagraph"/>
              <w:ind w:left="0"/>
              <w:jc w:val="center"/>
              <w:rPr>
                <w:rFonts w:ascii="Times New Roman" w:eastAsia="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lang w:val="ms-MY"/>
              </w:rPr>
              <w:t>51.41650</w:t>
            </w:r>
          </w:p>
        </w:tc>
      </w:tr>
      <w:tr w:rsidR="000F7038" w:rsidRPr="000F7038" w14:paraId="53BC6035" w14:textId="576DF7D6" w:rsidTr="00037B03">
        <w:tc>
          <w:tcPr>
            <w:tcW w:w="1303" w:type="dxa"/>
            <w:tcBorders>
              <w:top w:val="nil"/>
            </w:tcBorders>
          </w:tcPr>
          <w:p w14:paraId="51C3537E" w14:textId="5B0F78EC"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eastAsia="Times New Roman" w:hAnsi="Times New Roman" w:cs="Times New Roman"/>
                <w:color w:val="000000" w:themeColor="text1"/>
                <w:sz w:val="24"/>
                <w:szCs w:val="24"/>
              </w:rPr>
              <w:t>LEV</w:t>
            </w:r>
          </w:p>
        </w:tc>
        <w:tc>
          <w:tcPr>
            <w:tcW w:w="1559" w:type="dxa"/>
            <w:tcBorders>
              <w:top w:val="nil"/>
            </w:tcBorders>
          </w:tcPr>
          <w:p w14:paraId="4D66E263" w14:textId="0A295063"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eastAsia="Times New Roman" w:hAnsi="Times New Roman" w:cs="Times New Roman"/>
                <w:color w:val="000000" w:themeColor="text1"/>
                <w:sz w:val="24"/>
                <w:szCs w:val="24"/>
              </w:rPr>
              <w:t>0.429362</w:t>
            </w:r>
          </w:p>
        </w:tc>
        <w:tc>
          <w:tcPr>
            <w:tcW w:w="1418" w:type="dxa"/>
            <w:tcBorders>
              <w:top w:val="nil"/>
            </w:tcBorders>
          </w:tcPr>
          <w:p w14:paraId="7F07D317" w14:textId="187247A1"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eastAsia="Times New Roman" w:hAnsi="Times New Roman" w:cs="Times New Roman"/>
                <w:color w:val="000000" w:themeColor="text1"/>
                <w:sz w:val="24"/>
                <w:szCs w:val="24"/>
              </w:rPr>
              <w:t>0.000000</w:t>
            </w:r>
          </w:p>
        </w:tc>
        <w:tc>
          <w:tcPr>
            <w:tcW w:w="1843" w:type="dxa"/>
            <w:tcBorders>
              <w:top w:val="nil"/>
            </w:tcBorders>
          </w:tcPr>
          <w:p w14:paraId="6A3A2578" w14:textId="2054E7E6"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eastAsia="Times New Roman" w:hAnsi="Times New Roman" w:cs="Times New Roman"/>
                <w:color w:val="000000" w:themeColor="text1"/>
                <w:sz w:val="24"/>
                <w:szCs w:val="24"/>
              </w:rPr>
              <w:t>25.03446</w:t>
            </w:r>
          </w:p>
        </w:tc>
        <w:tc>
          <w:tcPr>
            <w:tcW w:w="2353" w:type="dxa"/>
            <w:tcBorders>
              <w:top w:val="nil"/>
            </w:tcBorders>
            <w:vAlign w:val="bottom"/>
          </w:tcPr>
          <w:p w14:paraId="30C9ACF4" w14:textId="0CCD2071" w:rsidR="00B63B4A" w:rsidRPr="000F7038" w:rsidRDefault="00B63B4A" w:rsidP="006E01D2">
            <w:pPr>
              <w:pStyle w:val="ListParagraph"/>
              <w:ind w:left="0"/>
              <w:jc w:val="center"/>
              <w:rPr>
                <w:rFonts w:ascii="Times New Roman" w:eastAsia="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lang w:val="ms-MY"/>
              </w:rPr>
              <w:t>1.264610</w:t>
            </w:r>
          </w:p>
        </w:tc>
      </w:tr>
      <w:tr w:rsidR="000F7038" w:rsidRPr="000F7038" w14:paraId="6C87DF57" w14:textId="43FCC8CF" w:rsidTr="00037B03">
        <w:tc>
          <w:tcPr>
            <w:tcW w:w="1303" w:type="dxa"/>
            <w:tcBorders>
              <w:bottom w:val="nil"/>
            </w:tcBorders>
          </w:tcPr>
          <w:p w14:paraId="7CC3B581" w14:textId="2CC8D79D"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eastAsia="Times New Roman" w:hAnsi="Times New Roman" w:cs="Times New Roman"/>
                <w:color w:val="000000" w:themeColor="text1"/>
                <w:sz w:val="24"/>
                <w:szCs w:val="24"/>
              </w:rPr>
              <w:t>LSIZE</w:t>
            </w:r>
          </w:p>
        </w:tc>
        <w:tc>
          <w:tcPr>
            <w:tcW w:w="1559" w:type="dxa"/>
            <w:tcBorders>
              <w:bottom w:val="nil"/>
            </w:tcBorders>
          </w:tcPr>
          <w:p w14:paraId="7B171769" w14:textId="2C3D08B0"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eastAsia="Times New Roman" w:hAnsi="Times New Roman" w:cs="Times New Roman"/>
                <w:color w:val="000000" w:themeColor="text1"/>
                <w:sz w:val="24"/>
                <w:szCs w:val="24"/>
              </w:rPr>
              <w:t>19.91009</w:t>
            </w:r>
          </w:p>
        </w:tc>
        <w:tc>
          <w:tcPr>
            <w:tcW w:w="1418" w:type="dxa"/>
            <w:tcBorders>
              <w:bottom w:val="nil"/>
            </w:tcBorders>
          </w:tcPr>
          <w:p w14:paraId="3FEA1998" w14:textId="7AB7CCF1"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eastAsia="Times New Roman" w:hAnsi="Times New Roman" w:cs="Times New Roman"/>
                <w:color w:val="000000" w:themeColor="text1"/>
                <w:sz w:val="24"/>
                <w:szCs w:val="24"/>
              </w:rPr>
              <w:t>15.47376</w:t>
            </w:r>
          </w:p>
        </w:tc>
        <w:tc>
          <w:tcPr>
            <w:tcW w:w="1843" w:type="dxa"/>
            <w:tcBorders>
              <w:bottom w:val="nil"/>
            </w:tcBorders>
          </w:tcPr>
          <w:p w14:paraId="12E4BF34" w14:textId="51650DE2"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eastAsia="Times New Roman" w:hAnsi="Times New Roman" w:cs="Times New Roman"/>
                <w:color w:val="000000" w:themeColor="text1"/>
                <w:sz w:val="24"/>
                <w:szCs w:val="24"/>
              </w:rPr>
              <w:t>25.61288</w:t>
            </w:r>
          </w:p>
        </w:tc>
        <w:tc>
          <w:tcPr>
            <w:tcW w:w="2353" w:type="dxa"/>
            <w:tcBorders>
              <w:bottom w:val="nil"/>
            </w:tcBorders>
            <w:vAlign w:val="bottom"/>
          </w:tcPr>
          <w:p w14:paraId="53B08191" w14:textId="34623557" w:rsidR="00B63B4A" w:rsidRPr="000F7038" w:rsidRDefault="00B63B4A" w:rsidP="006E01D2">
            <w:pPr>
              <w:pStyle w:val="ListParagraph"/>
              <w:ind w:left="0"/>
              <w:jc w:val="center"/>
              <w:rPr>
                <w:rFonts w:ascii="Times New Roman" w:eastAsia="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lang w:val="ms-MY"/>
              </w:rPr>
              <w:t>1.623846</w:t>
            </w:r>
          </w:p>
        </w:tc>
      </w:tr>
      <w:tr w:rsidR="000F7038" w:rsidRPr="000F7038" w14:paraId="0D0FE2D6" w14:textId="356785BF" w:rsidTr="00037B03">
        <w:tc>
          <w:tcPr>
            <w:tcW w:w="1303" w:type="dxa"/>
            <w:tcBorders>
              <w:top w:val="nil"/>
              <w:bottom w:val="single" w:sz="4" w:space="0" w:color="auto"/>
            </w:tcBorders>
          </w:tcPr>
          <w:p w14:paraId="33900850" w14:textId="3D1720B1"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eastAsia="Times New Roman" w:hAnsi="Times New Roman" w:cs="Times New Roman"/>
                <w:color w:val="000000" w:themeColor="text1"/>
                <w:sz w:val="24"/>
                <w:szCs w:val="24"/>
              </w:rPr>
              <w:t>BTMK</w:t>
            </w:r>
          </w:p>
        </w:tc>
        <w:tc>
          <w:tcPr>
            <w:tcW w:w="1559" w:type="dxa"/>
            <w:tcBorders>
              <w:top w:val="nil"/>
              <w:bottom w:val="single" w:sz="4" w:space="0" w:color="auto"/>
            </w:tcBorders>
          </w:tcPr>
          <w:p w14:paraId="379BBAB5" w14:textId="5B67F067"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eastAsia="Times New Roman" w:hAnsi="Times New Roman" w:cs="Times New Roman"/>
                <w:color w:val="000000" w:themeColor="text1"/>
                <w:sz w:val="24"/>
                <w:szCs w:val="24"/>
              </w:rPr>
              <w:t>1.494112</w:t>
            </w:r>
          </w:p>
        </w:tc>
        <w:tc>
          <w:tcPr>
            <w:tcW w:w="1418" w:type="dxa"/>
            <w:tcBorders>
              <w:top w:val="nil"/>
              <w:bottom w:val="single" w:sz="4" w:space="0" w:color="auto"/>
            </w:tcBorders>
          </w:tcPr>
          <w:p w14:paraId="6C567CD4" w14:textId="30B93C5E"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eastAsia="Times New Roman" w:hAnsi="Times New Roman" w:cs="Times New Roman"/>
                <w:color w:val="000000" w:themeColor="text1"/>
                <w:sz w:val="24"/>
                <w:szCs w:val="24"/>
              </w:rPr>
              <w:t>0.355279</w:t>
            </w:r>
          </w:p>
        </w:tc>
        <w:tc>
          <w:tcPr>
            <w:tcW w:w="1843" w:type="dxa"/>
            <w:tcBorders>
              <w:top w:val="nil"/>
              <w:bottom w:val="single" w:sz="4" w:space="0" w:color="auto"/>
            </w:tcBorders>
          </w:tcPr>
          <w:p w14:paraId="4CFFD15E" w14:textId="7C49F9A6" w:rsidR="00B63B4A" w:rsidRPr="000F7038" w:rsidRDefault="00B63B4A" w:rsidP="006E01D2">
            <w:pPr>
              <w:pStyle w:val="ListParagraph"/>
              <w:ind w:left="0"/>
              <w:jc w:val="center"/>
              <w:rPr>
                <w:rFonts w:ascii="Times New Roman" w:hAnsi="Times New Roman" w:cs="Times New Roman"/>
                <w:color w:val="000000" w:themeColor="text1"/>
                <w:sz w:val="24"/>
                <w:szCs w:val="24"/>
              </w:rPr>
            </w:pPr>
            <w:r w:rsidRPr="000F7038">
              <w:rPr>
                <w:rFonts w:ascii="Times New Roman" w:eastAsia="Times New Roman" w:hAnsi="Times New Roman" w:cs="Times New Roman"/>
                <w:color w:val="000000" w:themeColor="text1"/>
                <w:sz w:val="24"/>
                <w:szCs w:val="24"/>
              </w:rPr>
              <w:t>28.34576</w:t>
            </w:r>
          </w:p>
        </w:tc>
        <w:tc>
          <w:tcPr>
            <w:tcW w:w="2353" w:type="dxa"/>
            <w:tcBorders>
              <w:top w:val="nil"/>
              <w:bottom w:val="single" w:sz="4" w:space="0" w:color="auto"/>
            </w:tcBorders>
            <w:vAlign w:val="bottom"/>
          </w:tcPr>
          <w:p w14:paraId="5F82C3B5" w14:textId="36A51D7A" w:rsidR="00B63B4A" w:rsidRPr="000F7038" w:rsidRDefault="00B63B4A" w:rsidP="006E01D2">
            <w:pPr>
              <w:pStyle w:val="ListParagraph"/>
              <w:ind w:left="0"/>
              <w:jc w:val="center"/>
              <w:rPr>
                <w:rFonts w:ascii="Times New Roman" w:eastAsia="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lang w:val="ms-MY"/>
              </w:rPr>
              <w:t>1.954840</w:t>
            </w:r>
          </w:p>
        </w:tc>
      </w:tr>
    </w:tbl>
    <w:p w14:paraId="3A8494AB" w14:textId="77777777" w:rsidR="00A178D4" w:rsidRPr="000F7038" w:rsidRDefault="00A178D4" w:rsidP="006E01D2">
      <w:pPr>
        <w:spacing w:after="0" w:line="240" w:lineRule="auto"/>
        <w:rPr>
          <w:rFonts w:ascii="Times New Roman" w:hAnsi="Times New Roman" w:cs="Times New Roman"/>
          <w:color w:val="000000" w:themeColor="text1"/>
          <w:sz w:val="24"/>
          <w:szCs w:val="24"/>
        </w:rPr>
      </w:pPr>
    </w:p>
    <w:p w14:paraId="075E5543" w14:textId="4F4DE79F" w:rsidR="00157236" w:rsidRPr="000F7038" w:rsidRDefault="00157236" w:rsidP="006E01D2">
      <w:pPr>
        <w:pStyle w:val="ListParagraph"/>
        <w:numPr>
          <w:ilvl w:val="1"/>
          <w:numId w:val="1"/>
        </w:numPr>
        <w:spacing w:after="0" w:line="240" w:lineRule="auto"/>
        <w:ind w:left="540"/>
        <w:rPr>
          <w:rFonts w:ascii="Times New Roman" w:hAnsi="Times New Roman" w:cs="Times New Roman"/>
          <w:i/>
          <w:iCs/>
          <w:color w:val="000000" w:themeColor="text1"/>
          <w:sz w:val="24"/>
          <w:szCs w:val="24"/>
        </w:rPr>
      </w:pPr>
      <w:r w:rsidRPr="000F7038">
        <w:rPr>
          <w:rFonts w:ascii="Times New Roman" w:hAnsi="Times New Roman" w:cs="Times New Roman"/>
          <w:i/>
          <w:iCs/>
          <w:color w:val="000000" w:themeColor="text1"/>
          <w:sz w:val="24"/>
          <w:szCs w:val="24"/>
        </w:rPr>
        <w:t>Pearson’s Correlation Coefficient Test</w:t>
      </w:r>
    </w:p>
    <w:p w14:paraId="3A2017B0" w14:textId="1616B94F" w:rsidR="00D5470B" w:rsidRPr="000F7038" w:rsidRDefault="00D5470B" w:rsidP="006E01D2">
      <w:pPr>
        <w:pStyle w:val="ListParagraph"/>
        <w:tabs>
          <w:tab w:val="left" w:pos="450"/>
        </w:tabs>
        <w:spacing w:after="0" w:line="240" w:lineRule="auto"/>
        <w:ind w:left="18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Table 2 shows </w:t>
      </w:r>
      <w:r w:rsidR="00AF4DE8" w:rsidRPr="000F7038">
        <w:rPr>
          <w:rFonts w:ascii="Times New Roman" w:hAnsi="Times New Roman" w:cs="Times New Roman"/>
          <w:color w:val="000000" w:themeColor="text1"/>
          <w:sz w:val="24"/>
          <w:szCs w:val="24"/>
        </w:rPr>
        <w:t>Pearson’s correlation among variables. In the table,</w:t>
      </w:r>
      <w:r w:rsidRPr="000F7038">
        <w:rPr>
          <w:rFonts w:ascii="Times New Roman" w:hAnsi="Times New Roman" w:cs="Times New Roman"/>
          <w:color w:val="000000" w:themeColor="text1"/>
          <w:sz w:val="24"/>
          <w:szCs w:val="24"/>
        </w:rPr>
        <w:t xml:space="preserve"> </w:t>
      </w:r>
      <w:r w:rsidR="00AF4DE8" w:rsidRPr="000F7038">
        <w:rPr>
          <w:rFonts w:ascii="Times New Roman" w:hAnsi="Times New Roman" w:cs="Times New Roman"/>
          <w:color w:val="000000" w:themeColor="text1"/>
          <w:sz w:val="24"/>
          <w:szCs w:val="24"/>
        </w:rPr>
        <w:t xml:space="preserve">the </w:t>
      </w:r>
      <w:r w:rsidRPr="000F7038">
        <w:rPr>
          <w:rFonts w:ascii="Times New Roman" w:hAnsi="Times New Roman" w:cs="Times New Roman"/>
          <w:color w:val="000000" w:themeColor="text1"/>
          <w:sz w:val="24"/>
          <w:szCs w:val="24"/>
        </w:rPr>
        <w:t>firm size (LSIZE) and environmental disclosure (ED) had positive correlation towards stock market liquidity in term of bid-ask spread (SPREAD)</w:t>
      </w:r>
      <w:r w:rsidR="0009726B" w:rsidRPr="000F7038">
        <w:rPr>
          <w:rFonts w:ascii="Times New Roman" w:hAnsi="Times New Roman" w:cs="Times New Roman"/>
          <w:color w:val="000000" w:themeColor="text1"/>
          <w:sz w:val="24"/>
          <w:szCs w:val="24"/>
        </w:rPr>
        <w:t xml:space="preserve"> at 1% and 5% respectively</w:t>
      </w:r>
      <w:r w:rsidRPr="000F7038">
        <w:rPr>
          <w:rFonts w:ascii="Times New Roman" w:hAnsi="Times New Roman" w:cs="Times New Roman"/>
          <w:color w:val="000000" w:themeColor="text1"/>
          <w:sz w:val="24"/>
          <w:szCs w:val="24"/>
        </w:rPr>
        <w:t xml:space="preserve">.  </w:t>
      </w:r>
      <w:r w:rsidR="0009726B" w:rsidRPr="000F7038">
        <w:rPr>
          <w:rFonts w:ascii="Times New Roman" w:hAnsi="Times New Roman" w:cs="Times New Roman"/>
          <w:color w:val="000000" w:themeColor="text1"/>
          <w:sz w:val="24"/>
          <w:szCs w:val="24"/>
        </w:rPr>
        <w:t>Regarding the only independent variable which is</w:t>
      </w:r>
      <w:r w:rsidRPr="000F7038">
        <w:rPr>
          <w:rFonts w:ascii="Times New Roman" w:hAnsi="Times New Roman" w:cs="Times New Roman"/>
          <w:color w:val="000000" w:themeColor="text1"/>
          <w:sz w:val="24"/>
          <w:szCs w:val="24"/>
        </w:rPr>
        <w:t xml:space="preserve"> environmental disclosure (ED) have </w:t>
      </w:r>
      <w:r w:rsidR="0009726B" w:rsidRPr="000F7038">
        <w:rPr>
          <w:rFonts w:ascii="Times New Roman" w:hAnsi="Times New Roman" w:cs="Times New Roman"/>
          <w:color w:val="000000" w:themeColor="text1"/>
          <w:sz w:val="24"/>
          <w:szCs w:val="24"/>
        </w:rPr>
        <w:t xml:space="preserve">significant </w:t>
      </w:r>
      <w:r w:rsidRPr="000F7038">
        <w:rPr>
          <w:rFonts w:ascii="Times New Roman" w:hAnsi="Times New Roman" w:cs="Times New Roman"/>
          <w:color w:val="000000" w:themeColor="text1"/>
          <w:sz w:val="24"/>
          <w:szCs w:val="24"/>
        </w:rPr>
        <w:t xml:space="preserve">positive correlation </w:t>
      </w:r>
      <w:r w:rsidR="0009726B" w:rsidRPr="000F7038">
        <w:rPr>
          <w:rFonts w:ascii="Times New Roman" w:hAnsi="Times New Roman" w:cs="Times New Roman"/>
          <w:color w:val="000000" w:themeColor="text1"/>
          <w:sz w:val="24"/>
          <w:szCs w:val="24"/>
        </w:rPr>
        <w:t>at 1%</w:t>
      </w:r>
      <w:r w:rsidRPr="000F7038">
        <w:rPr>
          <w:rFonts w:ascii="Times New Roman" w:hAnsi="Times New Roman" w:cs="Times New Roman"/>
          <w:color w:val="000000" w:themeColor="text1"/>
          <w:sz w:val="24"/>
          <w:szCs w:val="24"/>
        </w:rPr>
        <w:t xml:space="preserve">. </w:t>
      </w:r>
      <w:r w:rsidR="00AF4DE8" w:rsidRPr="000F7038">
        <w:rPr>
          <w:rFonts w:ascii="Times New Roman" w:hAnsi="Times New Roman" w:cs="Times New Roman"/>
          <w:color w:val="000000" w:themeColor="text1"/>
          <w:sz w:val="24"/>
          <w:szCs w:val="24"/>
        </w:rPr>
        <w:t>Lastly</w:t>
      </w:r>
      <w:r w:rsidR="0009726B" w:rsidRPr="000F7038">
        <w:rPr>
          <w:rFonts w:ascii="Times New Roman" w:hAnsi="Times New Roman" w:cs="Times New Roman"/>
          <w:color w:val="000000" w:themeColor="text1"/>
          <w:sz w:val="24"/>
          <w:szCs w:val="24"/>
        </w:rPr>
        <w:t xml:space="preserve">, only leverage (LEV) has positive correlation </w:t>
      </w:r>
      <w:r w:rsidR="00AF4DE8" w:rsidRPr="000F7038">
        <w:rPr>
          <w:rFonts w:ascii="Times New Roman" w:hAnsi="Times New Roman" w:cs="Times New Roman"/>
          <w:color w:val="000000" w:themeColor="text1"/>
          <w:sz w:val="24"/>
          <w:szCs w:val="24"/>
        </w:rPr>
        <w:t>firm size (LSIZE)</w:t>
      </w:r>
      <w:r w:rsidR="0009726B" w:rsidRPr="000F7038">
        <w:rPr>
          <w:rFonts w:ascii="Times New Roman" w:hAnsi="Times New Roman" w:cs="Times New Roman"/>
          <w:color w:val="000000" w:themeColor="text1"/>
          <w:sz w:val="24"/>
          <w:szCs w:val="24"/>
        </w:rPr>
        <w:t xml:space="preserve"> among control variable</w:t>
      </w:r>
      <w:r w:rsidR="00AF4DE8" w:rsidRPr="000F7038">
        <w:rPr>
          <w:rFonts w:ascii="Times New Roman" w:hAnsi="Times New Roman" w:cs="Times New Roman"/>
          <w:color w:val="000000" w:themeColor="text1"/>
          <w:sz w:val="24"/>
          <w:szCs w:val="24"/>
        </w:rPr>
        <w:t>s. There is no significant correlation between (LSIZE) and Book-to market ratio (BTMK).</w:t>
      </w:r>
    </w:p>
    <w:p w14:paraId="737EA79D" w14:textId="75578653" w:rsidR="00D5470B" w:rsidRPr="000F7038" w:rsidRDefault="00D5470B" w:rsidP="006E01D2">
      <w:pPr>
        <w:spacing w:after="0" w:line="240" w:lineRule="auto"/>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Table 2: Pearson’s correlation</w:t>
      </w:r>
    </w:p>
    <w:tbl>
      <w:tblPr>
        <w:tblStyle w:val="TableGrid0"/>
        <w:tblW w:w="8747" w:type="dxa"/>
        <w:tblInd w:w="279"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7"/>
        <w:gridCol w:w="1608"/>
        <w:gridCol w:w="1706"/>
        <w:gridCol w:w="1701"/>
        <w:gridCol w:w="1276"/>
        <w:gridCol w:w="1229"/>
      </w:tblGrid>
      <w:tr w:rsidR="000F7038" w:rsidRPr="000F7038" w14:paraId="0841D551" w14:textId="77777777" w:rsidTr="008748BF">
        <w:tc>
          <w:tcPr>
            <w:tcW w:w="1227" w:type="dxa"/>
            <w:tcBorders>
              <w:top w:val="single" w:sz="4" w:space="0" w:color="auto"/>
              <w:bottom w:val="single" w:sz="4" w:space="0" w:color="auto"/>
            </w:tcBorders>
          </w:tcPr>
          <w:p w14:paraId="0017F1EB" w14:textId="3FD99BE7" w:rsidR="00D5470B" w:rsidRPr="000F7038" w:rsidRDefault="00D5470B" w:rsidP="006E01D2">
            <w:pPr>
              <w:autoSpaceDE w:val="0"/>
              <w:autoSpaceDN w:val="0"/>
              <w:adjustRightInd w:val="0"/>
              <w:ind w:left="360"/>
              <w:rPr>
                <w:rFonts w:ascii="Times New Roman" w:hAnsi="Times New Roman" w:cs="Times New Roman"/>
                <w:color w:val="000000" w:themeColor="text1"/>
                <w:sz w:val="24"/>
                <w:szCs w:val="24"/>
              </w:rPr>
            </w:pPr>
          </w:p>
        </w:tc>
        <w:tc>
          <w:tcPr>
            <w:tcW w:w="1608" w:type="dxa"/>
            <w:tcBorders>
              <w:top w:val="single" w:sz="4" w:space="0" w:color="auto"/>
              <w:bottom w:val="single" w:sz="4" w:space="0" w:color="auto"/>
            </w:tcBorders>
          </w:tcPr>
          <w:p w14:paraId="31A87B72" w14:textId="77777777" w:rsidR="00D5470B" w:rsidRPr="000F7038" w:rsidRDefault="00D5470B" w:rsidP="006E01D2">
            <w:pPr>
              <w:autoSpaceDE w:val="0"/>
              <w:autoSpaceDN w:val="0"/>
              <w:adjustRightInd w:val="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SPREAD</w:t>
            </w:r>
          </w:p>
        </w:tc>
        <w:tc>
          <w:tcPr>
            <w:tcW w:w="1706" w:type="dxa"/>
            <w:tcBorders>
              <w:top w:val="single" w:sz="4" w:space="0" w:color="auto"/>
              <w:bottom w:val="single" w:sz="4" w:space="0" w:color="auto"/>
            </w:tcBorders>
          </w:tcPr>
          <w:p w14:paraId="27948B4D" w14:textId="77777777" w:rsidR="00D5470B" w:rsidRPr="000F7038" w:rsidRDefault="00D5470B" w:rsidP="006E01D2">
            <w:pPr>
              <w:autoSpaceDE w:val="0"/>
              <w:autoSpaceDN w:val="0"/>
              <w:adjustRightInd w:val="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ED</w:t>
            </w:r>
          </w:p>
        </w:tc>
        <w:tc>
          <w:tcPr>
            <w:tcW w:w="1701" w:type="dxa"/>
            <w:tcBorders>
              <w:top w:val="single" w:sz="4" w:space="0" w:color="auto"/>
              <w:bottom w:val="single" w:sz="4" w:space="0" w:color="auto"/>
            </w:tcBorders>
          </w:tcPr>
          <w:p w14:paraId="08B0C3A5" w14:textId="77777777" w:rsidR="00D5470B" w:rsidRPr="000F7038" w:rsidRDefault="00D5470B" w:rsidP="006E01D2">
            <w:pPr>
              <w:autoSpaceDE w:val="0"/>
              <w:autoSpaceDN w:val="0"/>
              <w:adjustRightInd w:val="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LEV</w:t>
            </w:r>
          </w:p>
        </w:tc>
        <w:tc>
          <w:tcPr>
            <w:tcW w:w="1276" w:type="dxa"/>
            <w:tcBorders>
              <w:top w:val="single" w:sz="4" w:space="0" w:color="auto"/>
              <w:bottom w:val="single" w:sz="4" w:space="0" w:color="auto"/>
            </w:tcBorders>
          </w:tcPr>
          <w:p w14:paraId="004E4D0A" w14:textId="77777777" w:rsidR="00D5470B" w:rsidRPr="000F7038" w:rsidRDefault="00D5470B" w:rsidP="006E01D2">
            <w:pPr>
              <w:autoSpaceDE w:val="0"/>
              <w:autoSpaceDN w:val="0"/>
              <w:adjustRightInd w:val="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LSIZE</w:t>
            </w:r>
          </w:p>
        </w:tc>
        <w:tc>
          <w:tcPr>
            <w:tcW w:w="1229" w:type="dxa"/>
            <w:tcBorders>
              <w:top w:val="single" w:sz="4" w:space="0" w:color="auto"/>
              <w:bottom w:val="single" w:sz="4" w:space="0" w:color="auto"/>
            </w:tcBorders>
          </w:tcPr>
          <w:p w14:paraId="56EE1FAB" w14:textId="77777777" w:rsidR="00D5470B" w:rsidRPr="000F7038" w:rsidRDefault="00D5470B" w:rsidP="006E01D2">
            <w:pPr>
              <w:autoSpaceDE w:val="0"/>
              <w:autoSpaceDN w:val="0"/>
              <w:adjustRightInd w:val="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BTMK</w:t>
            </w:r>
          </w:p>
        </w:tc>
      </w:tr>
      <w:tr w:rsidR="000F7038" w:rsidRPr="000F7038" w14:paraId="4C0998AA" w14:textId="77777777" w:rsidTr="008748BF">
        <w:tc>
          <w:tcPr>
            <w:tcW w:w="1227" w:type="dxa"/>
            <w:tcBorders>
              <w:top w:val="single" w:sz="4" w:space="0" w:color="auto"/>
            </w:tcBorders>
          </w:tcPr>
          <w:p w14:paraId="60A13F65" w14:textId="77777777" w:rsidR="00D5470B" w:rsidRPr="000F7038" w:rsidRDefault="00D5470B" w:rsidP="006E01D2">
            <w:pPr>
              <w:autoSpaceDE w:val="0"/>
              <w:autoSpaceDN w:val="0"/>
              <w:adjustRightInd w:val="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SPREAD</w:t>
            </w:r>
          </w:p>
        </w:tc>
        <w:tc>
          <w:tcPr>
            <w:tcW w:w="1608" w:type="dxa"/>
            <w:tcBorders>
              <w:top w:val="single" w:sz="4" w:space="0" w:color="auto"/>
            </w:tcBorders>
            <w:vAlign w:val="bottom"/>
          </w:tcPr>
          <w:p w14:paraId="2509DDA9" w14:textId="24D78D85" w:rsidR="001961AF" w:rsidRPr="000F7038" w:rsidRDefault="00D5470B"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1</w:t>
            </w:r>
          </w:p>
          <w:p w14:paraId="06895951" w14:textId="214EBDC9" w:rsidR="00D5470B" w:rsidRPr="000F7038" w:rsidRDefault="00D5470B" w:rsidP="006E01D2">
            <w:pPr>
              <w:autoSpaceDE w:val="0"/>
              <w:autoSpaceDN w:val="0"/>
              <w:adjustRightInd w:val="0"/>
              <w:ind w:left="360" w:right="10"/>
              <w:rPr>
                <w:rFonts w:ascii="Times New Roman" w:hAnsi="Times New Roman" w:cs="Times New Roman"/>
                <w:color w:val="000000" w:themeColor="text1"/>
                <w:sz w:val="24"/>
                <w:szCs w:val="24"/>
              </w:rPr>
            </w:pPr>
          </w:p>
        </w:tc>
        <w:tc>
          <w:tcPr>
            <w:tcW w:w="1706" w:type="dxa"/>
            <w:tcBorders>
              <w:top w:val="single" w:sz="4" w:space="0" w:color="auto"/>
            </w:tcBorders>
            <w:vAlign w:val="bottom"/>
          </w:tcPr>
          <w:p w14:paraId="5E341F63" w14:textId="77777777" w:rsidR="00D5470B" w:rsidRPr="000F7038" w:rsidRDefault="00D5470B" w:rsidP="006E01D2">
            <w:pPr>
              <w:autoSpaceDE w:val="0"/>
              <w:autoSpaceDN w:val="0"/>
              <w:adjustRightInd w:val="0"/>
              <w:ind w:left="360" w:right="10"/>
              <w:rPr>
                <w:rFonts w:ascii="Times New Roman" w:hAnsi="Times New Roman" w:cs="Times New Roman"/>
                <w:color w:val="000000" w:themeColor="text1"/>
                <w:sz w:val="24"/>
                <w:szCs w:val="24"/>
              </w:rPr>
            </w:pPr>
          </w:p>
        </w:tc>
        <w:tc>
          <w:tcPr>
            <w:tcW w:w="1701" w:type="dxa"/>
            <w:tcBorders>
              <w:top w:val="single" w:sz="4" w:space="0" w:color="auto"/>
            </w:tcBorders>
            <w:vAlign w:val="bottom"/>
          </w:tcPr>
          <w:p w14:paraId="10A50431" w14:textId="77777777" w:rsidR="00D5470B" w:rsidRPr="000F7038" w:rsidRDefault="00D5470B" w:rsidP="006E01D2">
            <w:pPr>
              <w:autoSpaceDE w:val="0"/>
              <w:autoSpaceDN w:val="0"/>
              <w:adjustRightInd w:val="0"/>
              <w:ind w:left="360" w:right="10"/>
              <w:rPr>
                <w:rFonts w:ascii="Times New Roman" w:hAnsi="Times New Roman" w:cs="Times New Roman"/>
                <w:color w:val="000000" w:themeColor="text1"/>
                <w:sz w:val="24"/>
                <w:szCs w:val="24"/>
              </w:rPr>
            </w:pPr>
          </w:p>
        </w:tc>
        <w:tc>
          <w:tcPr>
            <w:tcW w:w="1276" w:type="dxa"/>
            <w:tcBorders>
              <w:top w:val="single" w:sz="4" w:space="0" w:color="auto"/>
            </w:tcBorders>
            <w:vAlign w:val="bottom"/>
          </w:tcPr>
          <w:p w14:paraId="259E7C82" w14:textId="77777777" w:rsidR="00D5470B" w:rsidRPr="000F7038" w:rsidRDefault="00D5470B" w:rsidP="006E01D2">
            <w:pPr>
              <w:autoSpaceDE w:val="0"/>
              <w:autoSpaceDN w:val="0"/>
              <w:adjustRightInd w:val="0"/>
              <w:ind w:left="360" w:right="10"/>
              <w:rPr>
                <w:rFonts w:ascii="Times New Roman" w:hAnsi="Times New Roman" w:cs="Times New Roman"/>
                <w:color w:val="000000" w:themeColor="text1"/>
                <w:sz w:val="24"/>
                <w:szCs w:val="24"/>
              </w:rPr>
            </w:pPr>
          </w:p>
        </w:tc>
        <w:tc>
          <w:tcPr>
            <w:tcW w:w="1229" w:type="dxa"/>
            <w:tcBorders>
              <w:top w:val="single" w:sz="4" w:space="0" w:color="auto"/>
            </w:tcBorders>
            <w:vAlign w:val="bottom"/>
          </w:tcPr>
          <w:p w14:paraId="4C1B3D40" w14:textId="77777777" w:rsidR="00D5470B" w:rsidRPr="000F7038" w:rsidRDefault="00D5470B" w:rsidP="006E01D2">
            <w:pPr>
              <w:autoSpaceDE w:val="0"/>
              <w:autoSpaceDN w:val="0"/>
              <w:adjustRightInd w:val="0"/>
              <w:ind w:left="360" w:right="10"/>
              <w:rPr>
                <w:rFonts w:ascii="Times New Roman" w:hAnsi="Times New Roman" w:cs="Times New Roman"/>
                <w:color w:val="000000" w:themeColor="text1"/>
                <w:sz w:val="24"/>
                <w:szCs w:val="24"/>
              </w:rPr>
            </w:pPr>
          </w:p>
        </w:tc>
      </w:tr>
      <w:tr w:rsidR="000F7038" w:rsidRPr="000F7038" w14:paraId="6E20B496" w14:textId="77777777" w:rsidTr="008748BF">
        <w:tc>
          <w:tcPr>
            <w:tcW w:w="1227" w:type="dxa"/>
          </w:tcPr>
          <w:p w14:paraId="2732987D" w14:textId="77777777" w:rsidR="00D5470B" w:rsidRPr="000F7038" w:rsidRDefault="00D5470B" w:rsidP="006E01D2">
            <w:pPr>
              <w:autoSpaceDE w:val="0"/>
              <w:autoSpaceDN w:val="0"/>
              <w:adjustRightInd w:val="0"/>
              <w:ind w:left="360"/>
              <w:rPr>
                <w:rFonts w:ascii="Times New Roman" w:hAnsi="Times New Roman" w:cs="Times New Roman"/>
                <w:color w:val="000000" w:themeColor="text1"/>
                <w:sz w:val="24"/>
                <w:szCs w:val="24"/>
              </w:rPr>
            </w:pPr>
          </w:p>
          <w:p w14:paraId="5B10A802" w14:textId="77777777" w:rsidR="00D5470B" w:rsidRPr="000F7038" w:rsidRDefault="00D5470B" w:rsidP="006E01D2">
            <w:pPr>
              <w:autoSpaceDE w:val="0"/>
              <w:autoSpaceDN w:val="0"/>
              <w:adjustRightInd w:val="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ED</w:t>
            </w:r>
          </w:p>
        </w:tc>
        <w:tc>
          <w:tcPr>
            <w:tcW w:w="1608" w:type="dxa"/>
            <w:vAlign w:val="bottom"/>
          </w:tcPr>
          <w:p w14:paraId="290A4233" w14:textId="77777777" w:rsidR="00D5470B" w:rsidRPr="000F7038" w:rsidRDefault="00D5470B"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0.218375</w:t>
            </w:r>
          </w:p>
          <w:p w14:paraId="099A6078" w14:textId="35561BC9" w:rsidR="00D5470B" w:rsidRPr="000F7038" w:rsidRDefault="00D5470B"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0.0000</w:t>
            </w:r>
            <w:r w:rsidR="001961AF" w:rsidRPr="000F7038">
              <w:rPr>
                <w:rFonts w:ascii="Times New Roman" w:hAnsi="Times New Roman" w:cs="Times New Roman"/>
                <w:color w:val="000000" w:themeColor="text1"/>
                <w:sz w:val="24"/>
                <w:szCs w:val="24"/>
              </w:rPr>
              <w:t>***</w:t>
            </w:r>
          </w:p>
        </w:tc>
        <w:tc>
          <w:tcPr>
            <w:tcW w:w="1706" w:type="dxa"/>
            <w:vAlign w:val="bottom"/>
          </w:tcPr>
          <w:p w14:paraId="02738914" w14:textId="5F71B2FC" w:rsidR="001961AF" w:rsidRPr="000F7038" w:rsidRDefault="00D5470B"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1</w:t>
            </w:r>
          </w:p>
          <w:p w14:paraId="255E818F" w14:textId="40F5620F" w:rsidR="00D5470B" w:rsidRPr="000F7038" w:rsidRDefault="00D5470B" w:rsidP="006E01D2">
            <w:pPr>
              <w:autoSpaceDE w:val="0"/>
              <w:autoSpaceDN w:val="0"/>
              <w:adjustRightInd w:val="0"/>
              <w:ind w:left="360" w:right="10"/>
              <w:rPr>
                <w:rFonts w:ascii="Times New Roman" w:hAnsi="Times New Roman" w:cs="Times New Roman"/>
                <w:color w:val="000000" w:themeColor="text1"/>
                <w:sz w:val="24"/>
                <w:szCs w:val="24"/>
              </w:rPr>
            </w:pPr>
          </w:p>
        </w:tc>
        <w:tc>
          <w:tcPr>
            <w:tcW w:w="1701" w:type="dxa"/>
            <w:vAlign w:val="bottom"/>
          </w:tcPr>
          <w:p w14:paraId="359D14C2" w14:textId="77777777" w:rsidR="00D5470B" w:rsidRPr="000F7038" w:rsidRDefault="00D5470B" w:rsidP="006E01D2">
            <w:pPr>
              <w:autoSpaceDE w:val="0"/>
              <w:autoSpaceDN w:val="0"/>
              <w:adjustRightInd w:val="0"/>
              <w:ind w:left="360" w:right="10"/>
              <w:rPr>
                <w:rFonts w:ascii="Times New Roman" w:hAnsi="Times New Roman" w:cs="Times New Roman"/>
                <w:color w:val="000000" w:themeColor="text1"/>
                <w:sz w:val="24"/>
                <w:szCs w:val="24"/>
              </w:rPr>
            </w:pPr>
          </w:p>
        </w:tc>
        <w:tc>
          <w:tcPr>
            <w:tcW w:w="1276" w:type="dxa"/>
            <w:vAlign w:val="bottom"/>
          </w:tcPr>
          <w:p w14:paraId="66321DBB" w14:textId="77777777" w:rsidR="00D5470B" w:rsidRPr="000F7038" w:rsidRDefault="00D5470B" w:rsidP="006E01D2">
            <w:pPr>
              <w:autoSpaceDE w:val="0"/>
              <w:autoSpaceDN w:val="0"/>
              <w:adjustRightInd w:val="0"/>
              <w:ind w:left="360" w:right="10"/>
              <w:rPr>
                <w:rFonts w:ascii="Times New Roman" w:hAnsi="Times New Roman" w:cs="Times New Roman"/>
                <w:color w:val="000000" w:themeColor="text1"/>
                <w:sz w:val="24"/>
                <w:szCs w:val="24"/>
              </w:rPr>
            </w:pPr>
          </w:p>
        </w:tc>
        <w:tc>
          <w:tcPr>
            <w:tcW w:w="1229" w:type="dxa"/>
            <w:vAlign w:val="bottom"/>
          </w:tcPr>
          <w:p w14:paraId="2BAB852C" w14:textId="77777777" w:rsidR="00D5470B" w:rsidRPr="000F7038" w:rsidRDefault="00D5470B" w:rsidP="006E01D2">
            <w:pPr>
              <w:autoSpaceDE w:val="0"/>
              <w:autoSpaceDN w:val="0"/>
              <w:adjustRightInd w:val="0"/>
              <w:ind w:left="360" w:right="10"/>
              <w:rPr>
                <w:rFonts w:ascii="Times New Roman" w:hAnsi="Times New Roman" w:cs="Times New Roman"/>
                <w:color w:val="000000" w:themeColor="text1"/>
                <w:sz w:val="24"/>
                <w:szCs w:val="24"/>
              </w:rPr>
            </w:pPr>
          </w:p>
        </w:tc>
      </w:tr>
      <w:tr w:rsidR="000F7038" w:rsidRPr="000F7038" w14:paraId="0120805E" w14:textId="77777777" w:rsidTr="008748BF">
        <w:tc>
          <w:tcPr>
            <w:tcW w:w="1227" w:type="dxa"/>
          </w:tcPr>
          <w:p w14:paraId="77BCC2E5" w14:textId="77777777" w:rsidR="00D5470B" w:rsidRPr="000F7038" w:rsidRDefault="00D5470B" w:rsidP="006E01D2">
            <w:pPr>
              <w:autoSpaceDE w:val="0"/>
              <w:autoSpaceDN w:val="0"/>
              <w:adjustRightInd w:val="0"/>
              <w:ind w:left="360"/>
              <w:rPr>
                <w:rFonts w:ascii="Times New Roman" w:hAnsi="Times New Roman" w:cs="Times New Roman"/>
                <w:color w:val="000000" w:themeColor="text1"/>
                <w:sz w:val="24"/>
                <w:szCs w:val="24"/>
              </w:rPr>
            </w:pPr>
          </w:p>
          <w:p w14:paraId="1F8DB451" w14:textId="77777777" w:rsidR="00D5470B" w:rsidRPr="000F7038" w:rsidRDefault="00D5470B" w:rsidP="006E01D2">
            <w:pPr>
              <w:autoSpaceDE w:val="0"/>
              <w:autoSpaceDN w:val="0"/>
              <w:adjustRightInd w:val="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LEV</w:t>
            </w:r>
          </w:p>
        </w:tc>
        <w:tc>
          <w:tcPr>
            <w:tcW w:w="1608" w:type="dxa"/>
            <w:vAlign w:val="bottom"/>
          </w:tcPr>
          <w:p w14:paraId="1A4B5B46" w14:textId="77777777" w:rsidR="00D5470B" w:rsidRPr="000F7038" w:rsidRDefault="00D5470B"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-0.023712</w:t>
            </w:r>
          </w:p>
          <w:p w14:paraId="57F949B8" w14:textId="77777777" w:rsidR="00D5470B" w:rsidRPr="000F7038" w:rsidRDefault="00D5470B"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0.6135</w:t>
            </w:r>
          </w:p>
        </w:tc>
        <w:tc>
          <w:tcPr>
            <w:tcW w:w="1706" w:type="dxa"/>
            <w:vAlign w:val="bottom"/>
          </w:tcPr>
          <w:p w14:paraId="118E0804" w14:textId="77777777" w:rsidR="00D5470B" w:rsidRPr="000F7038" w:rsidRDefault="00D5470B" w:rsidP="006E01D2">
            <w:pPr>
              <w:autoSpaceDE w:val="0"/>
              <w:autoSpaceDN w:val="0"/>
              <w:adjustRightInd w:val="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0.029868</w:t>
            </w:r>
          </w:p>
          <w:p w14:paraId="10D631B6" w14:textId="77777777" w:rsidR="00D5470B" w:rsidRPr="000F7038" w:rsidRDefault="00D5470B" w:rsidP="006E01D2">
            <w:pPr>
              <w:autoSpaceDE w:val="0"/>
              <w:autoSpaceDN w:val="0"/>
              <w:adjustRightInd w:val="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0.5246</w:t>
            </w:r>
          </w:p>
        </w:tc>
        <w:tc>
          <w:tcPr>
            <w:tcW w:w="1701" w:type="dxa"/>
            <w:vAlign w:val="bottom"/>
          </w:tcPr>
          <w:p w14:paraId="043DC5B3" w14:textId="4937E62F" w:rsidR="001961AF" w:rsidRPr="000F7038" w:rsidRDefault="00D5470B" w:rsidP="006E01D2">
            <w:pPr>
              <w:autoSpaceDE w:val="0"/>
              <w:autoSpaceDN w:val="0"/>
              <w:adjustRightInd w:val="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1</w:t>
            </w:r>
          </w:p>
          <w:p w14:paraId="50D60871" w14:textId="1B256FA4" w:rsidR="00D5470B" w:rsidRPr="000F7038" w:rsidRDefault="00D5470B" w:rsidP="006E01D2">
            <w:pPr>
              <w:autoSpaceDE w:val="0"/>
              <w:autoSpaceDN w:val="0"/>
              <w:adjustRightInd w:val="0"/>
              <w:ind w:left="360"/>
              <w:rPr>
                <w:rFonts w:ascii="Times New Roman" w:hAnsi="Times New Roman" w:cs="Times New Roman"/>
                <w:color w:val="000000" w:themeColor="text1"/>
                <w:sz w:val="24"/>
                <w:szCs w:val="24"/>
              </w:rPr>
            </w:pPr>
          </w:p>
        </w:tc>
        <w:tc>
          <w:tcPr>
            <w:tcW w:w="1276" w:type="dxa"/>
            <w:vAlign w:val="bottom"/>
          </w:tcPr>
          <w:p w14:paraId="3E0EBB88" w14:textId="77777777" w:rsidR="00D5470B" w:rsidRPr="000F7038" w:rsidRDefault="00D5470B" w:rsidP="006E01D2">
            <w:pPr>
              <w:autoSpaceDE w:val="0"/>
              <w:autoSpaceDN w:val="0"/>
              <w:adjustRightInd w:val="0"/>
              <w:ind w:left="360"/>
              <w:rPr>
                <w:rFonts w:ascii="Times New Roman" w:hAnsi="Times New Roman" w:cs="Times New Roman"/>
                <w:color w:val="000000" w:themeColor="text1"/>
                <w:sz w:val="24"/>
                <w:szCs w:val="24"/>
              </w:rPr>
            </w:pPr>
          </w:p>
        </w:tc>
        <w:tc>
          <w:tcPr>
            <w:tcW w:w="1229" w:type="dxa"/>
            <w:vAlign w:val="bottom"/>
          </w:tcPr>
          <w:p w14:paraId="563D1A22" w14:textId="77777777" w:rsidR="00D5470B" w:rsidRPr="000F7038" w:rsidRDefault="00D5470B" w:rsidP="006E01D2">
            <w:pPr>
              <w:autoSpaceDE w:val="0"/>
              <w:autoSpaceDN w:val="0"/>
              <w:adjustRightInd w:val="0"/>
              <w:ind w:left="360"/>
              <w:rPr>
                <w:rFonts w:ascii="Times New Roman" w:hAnsi="Times New Roman" w:cs="Times New Roman"/>
                <w:color w:val="000000" w:themeColor="text1"/>
                <w:sz w:val="24"/>
                <w:szCs w:val="24"/>
              </w:rPr>
            </w:pPr>
          </w:p>
        </w:tc>
      </w:tr>
      <w:tr w:rsidR="000F7038" w:rsidRPr="000F7038" w14:paraId="5B515209" w14:textId="77777777" w:rsidTr="008748BF">
        <w:tc>
          <w:tcPr>
            <w:tcW w:w="1227" w:type="dxa"/>
            <w:tcBorders>
              <w:bottom w:val="nil"/>
            </w:tcBorders>
          </w:tcPr>
          <w:p w14:paraId="56E94CD8" w14:textId="77777777" w:rsidR="00D5470B" w:rsidRPr="000F7038" w:rsidRDefault="00D5470B" w:rsidP="006E01D2">
            <w:pPr>
              <w:autoSpaceDE w:val="0"/>
              <w:autoSpaceDN w:val="0"/>
              <w:adjustRightInd w:val="0"/>
              <w:ind w:left="360"/>
              <w:rPr>
                <w:rFonts w:ascii="Times New Roman" w:hAnsi="Times New Roman" w:cs="Times New Roman"/>
                <w:color w:val="000000" w:themeColor="text1"/>
                <w:sz w:val="24"/>
                <w:szCs w:val="24"/>
              </w:rPr>
            </w:pPr>
          </w:p>
          <w:p w14:paraId="4F35EB3D" w14:textId="77777777" w:rsidR="00D5470B" w:rsidRPr="000F7038" w:rsidRDefault="00D5470B" w:rsidP="006E01D2">
            <w:pPr>
              <w:autoSpaceDE w:val="0"/>
              <w:autoSpaceDN w:val="0"/>
              <w:adjustRightInd w:val="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LSIZE</w:t>
            </w:r>
          </w:p>
        </w:tc>
        <w:tc>
          <w:tcPr>
            <w:tcW w:w="1608" w:type="dxa"/>
            <w:tcBorders>
              <w:bottom w:val="nil"/>
            </w:tcBorders>
            <w:vAlign w:val="bottom"/>
          </w:tcPr>
          <w:p w14:paraId="628E5042" w14:textId="77777777" w:rsidR="00D5470B" w:rsidRPr="000F7038" w:rsidRDefault="00D5470B"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0.093242</w:t>
            </w:r>
          </w:p>
          <w:p w14:paraId="08A9F0A9" w14:textId="72019625" w:rsidR="00D5470B" w:rsidRPr="000F7038" w:rsidRDefault="00D5470B"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0.0466</w:t>
            </w:r>
            <w:r w:rsidR="001961AF" w:rsidRPr="000F7038">
              <w:rPr>
                <w:rFonts w:ascii="Times New Roman" w:hAnsi="Times New Roman" w:cs="Times New Roman"/>
                <w:color w:val="000000" w:themeColor="text1"/>
                <w:sz w:val="24"/>
                <w:szCs w:val="24"/>
              </w:rPr>
              <w:t>**</w:t>
            </w:r>
          </w:p>
        </w:tc>
        <w:tc>
          <w:tcPr>
            <w:tcW w:w="1706" w:type="dxa"/>
            <w:tcBorders>
              <w:bottom w:val="nil"/>
            </w:tcBorders>
            <w:vAlign w:val="bottom"/>
          </w:tcPr>
          <w:p w14:paraId="7A824075" w14:textId="77777777" w:rsidR="00D5470B" w:rsidRPr="000F7038" w:rsidRDefault="00D5470B"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0.465533</w:t>
            </w:r>
          </w:p>
          <w:p w14:paraId="71EFCA21" w14:textId="690DC4BF" w:rsidR="00D5470B" w:rsidRPr="000F7038" w:rsidRDefault="00D5470B"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0.0000</w:t>
            </w:r>
            <w:r w:rsidR="001961AF" w:rsidRPr="000F7038">
              <w:rPr>
                <w:rFonts w:ascii="Times New Roman" w:hAnsi="Times New Roman" w:cs="Times New Roman"/>
                <w:color w:val="000000" w:themeColor="text1"/>
                <w:sz w:val="24"/>
                <w:szCs w:val="24"/>
              </w:rPr>
              <w:t>***</w:t>
            </w:r>
          </w:p>
        </w:tc>
        <w:tc>
          <w:tcPr>
            <w:tcW w:w="1701" w:type="dxa"/>
            <w:tcBorders>
              <w:bottom w:val="nil"/>
            </w:tcBorders>
            <w:vAlign w:val="bottom"/>
          </w:tcPr>
          <w:p w14:paraId="172A371F" w14:textId="77777777" w:rsidR="00D5470B" w:rsidRPr="000F7038" w:rsidRDefault="00D5470B"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0.119417</w:t>
            </w:r>
          </w:p>
          <w:p w14:paraId="49915FBA" w14:textId="083C9B15" w:rsidR="00D5470B" w:rsidRPr="000F7038" w:rsidRDefault="00D5470B"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0.0107</w:t>
            </w:r>
            <w:r w:rsidR="001961AF" w:rsidRPr="000F7038">
              <w:rPr>
                <w:rFonts w:ascii="Times New Roman" w:hAnsi="Times New Roman" w:cs="Times New Roman"/>
                <w:color w:val="000000" w:themeColor="text1"/>
                <w:sz w:val="24"/>
                <w:szCs w:val="24"/>
              </w:rPr>
              <w:t>*</w:t>
            </w:r>
          </w:p>
        </w:tc>
        <w:tc>
          <w:tcPr>
            <w:tcW w:w="1276" w:type="dxa"/>
            <w:tcBorders>
              <w:bottom w:val="nil"/>
            </w:tcBorders>
            <w:vAlign w:val="bottom"/>
          </w:tcPr>
          <w:p w14:paraId="691236A3" w14:textId="0068BBD9" w:rsidR="001961AF" w:rsidRPr="000F7038" w:rsidRDefault="00D5470B"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1</w:t>
            </w:r>
          </w:p>
          <w:p w14:paraId="7AC703C5" w14:textId="008665BB" w:rsidR="00D5470B" w:rsidRPr="000F7038" w:rsidRDefault="00D5470B" w:rsidP="006E01D2">
            <w:pPr>
              <w:autoSpaceDE w:val="0"/>
              <w:autoSpaceDN w:val="0"/>
              <w:adjustRightInd w:val="0"/>
              <w:ind w:left="360" w:right="10"/>
              <w:rPr>
                <w:rFonts w:ascii="Times New Roman" w:hAnsi="Times New Roman" w:cs="Times New Roman"/>
                <w:color w:val="000000" w:themeColor="text1"/>
                <w:sz w:val="24"/>
                <w:szCs w:val="24"/>
              </w:rPr>
            </w:pPr>
          </w:p>
        </w:tc>
        <w:tc>
          <w:tcPr>
            <w:tcW w:w="1229" w:type="dxa"/>
            <w:tcBorders>
              <w:bottom w:val="nil"/>
            </w:tcBorders>
            <w:vAlign w:val="bottom"/>
          </w:tcPr>
          <w:p w14:paraId="3FE8A6BC" w14:textId="77777777" w:rsidR="00D5470B" w:rsidRPr="000F7038" w:rsidRDefault="00D5470B" w:rsidP="006E01D2">
            <w:pPr>
              <w:autoSpaceDE w:val="0"/>
              <w:autoSpaceDN w:val="0"/>
              <w:adjustRightInd w:val="0"/>
              <w:ind w:left="360" w:right="10"/>
              <w:rPr>
                <w:rFonts w:ascii="Times New Roman" w:hAnsi="Times New Roman" w:cs="Times New Roman"/>
                <w:color w:val="000000" w:themeColor="text1"/>
                <w:sz w:val="24"/>
                <w:szCs w:val="24"/>
              </w:rPr>
            </w:pPr>
          </w:p>
        </w:tc>
      </w:tr>
      <w:tr w:rsidR="000F7038" w:rsidRPr="000F7038" w14:paraId="761B8EBF" w14:textId="77777777" w:rsidTr="008748BF">
        <w:tc>
          <w:tcPr>
            <w:tcW w:w="1227" w:type="dxa"/>
            <w:tcBorders>
              <w:top w:val="nil"/>
              <w:bottom w:val="single" w:sz="4" w:space="0" w:color="auto"/>
            </w:tcBorders>
          </w:tcPr>
          <w:p w14:paraId="59C51802" w14:textId="77777777" w:rsidR="00D5470B" w:rsidRPr="000F7038" w:rsidRDefault="00D5470B" w:rsidP="006E01D2">
            <w:pPr>
              <w:autoSpaceDE w:val="0"/>
              <w:autoSpaceDN w:val="0"/>
              <w:adjustRightInd w:val="0"/>
              <w:ind w:left="360"/>
              <w:rPr>
                <w:rFonts w:ascii="Times New Roman" w:hAnsi="Times New Roman" w:cs="Times New Roman"/>
                <w:color w:val="000000" w:themeColor="text1"/>
                <w:sz w:val="24"/>
                <w:szCs w:val="24"/>
              </w:rPr>
            </w:pPr>
          </w:p>
          <w:p w14:paraId="7936DE6A" w14:textId="77777777" w:rsidR="00D5470B" w:rsidRPr="000F7038" w:rsidRDefault="00D5470B" w:rsidP="006E01D2">
            <w:pPr>
              <w:autoSpaceDE w:val="0"/>
              <w:autoSpaceDN w:val="0"/>
              <w:adjustRightInd w:val="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BTMK</w:t>
            </w:r>
          </w:p>
        </w:tc>
        <w:tc>
          <w:tcPr>
            <w:tcW w:w="1608" w:type="dxa"/>
            <w:tcBorders>
              <w:top w:val="nil"/>
              <w:bottom w:val="single" w:sz="4" w:space="0" w:color="auto"/>
            </w:tcBorders>
            <w:vAlign w:val="bottom"/>
          </w:tcPr>
          <w:p w14:paraId="48FF729B" w14:textId="77777777" w:rsidR="00D5470B" w:rsidRPr="000F7038" w:rsidRDefault="00D5470B"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-0.054128</w:t>
            </w:r>
          </w:p>
          <w:p w14:paraId="0ADC85F2" w14:textId="77777777" w:rsidR="00D5470B" w:rsidRPr="000F7038" w:rsidRDefault="00D5470B"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0.2487</w:t>
            </w:r>
          </w:p>
        </w:tc>
        <w:tc>
          <w:tcPr>
            <w:tcW w:w="1706" w:type="dxa"/>
            <w:tcBorders>
              <w:top w:val="nil"/>
              <w:bottom w:val="single" w:sz="4" w:space="0" w:color="auto"/>
            </w:tcBorders>
            <w:vAlign w:val="bottom"/>
          </w:tcPr>
          <w:p w14:paraId="490B3C07" w14:textId="77777777" w:rsidR="00D5470B" w:rsidRPr="000F7038" w:rsidRDefault="00D5470B"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-0.084256</w:t>
            </w:r>
          </w:p>
          <w:p w14:paraId="4F0AAB57" w14:textId="5041D2B0" w:rsidR="00D5470B" w:rsidRPr="000F7038" w:rsidRDefault="00D5470B"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0.0723</w:t>
            </w:r>
            <w:r w:rsidR="001961AF" w:rsidRPr="000F7038">
              <w:rPr>
                <w:rFonts w:ascii="Times New Roman" w:hAnsi="Times New Roman" w:cs="Times New Roman"/>
                <w:color w:val="000000" w:themeColor="text1"/>
                <w:sz w:val="24"/>
                <w:szCs w:val="24"/>
              </w:rPr>
              <w:t>*</w:t>
            </w:r>
          </w:p>
        </w:tc>
        <w:tc>
          <w:tcPr>
            <w:tcW w:w="1701" w:type="dxa"/>
            <w:tcBorders>
              <w:top w:val="nil"/>
              <w:bottom w:val="single" w:sz="4" w:space="0" w:color="auto"/>
            </w:tcBorders>
            <w:vAlign w:val="bottom"/>
          </w:tcPr>
          <w:p w14:paraId="675BF76E" w14:textId="77777777" w:rsidR="00D5470B" w:rsidRPr="000F7038" w:rsidRDefault="00D5470B"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-0.012065</w:t>
            </w:r>
          </w:p>
          <w:p w14:paraId="4E301419" w14:textId="77777777" w:rsidR="00D5470B" w:rsidRPr="000F7038" w:rsidRDefault="00D5470B"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0.7972</w:t>
            </w:r>
          </w:p>
        </w:tc>
        <w:tc>
          <w:tcPr>
            <w:tcW w:w="1276" w:type="dxa"/>
            <w:tcBorders>
              <w:top w:val="nil"/>
              <w:bottom w:val="single" w:sz="4" w:space="0" w:color="auto"/>
            </w:tcBorders>
            <w:vAlign w:val="bottom"/>
          </w:tcPr>
          <w:p w14:paraId="257FD475" w14:textId="77777777" w:rsidR="00D5470B" w:rsidRPr="000F7038" w:rsidRDefault="00D5470B"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0.072743</w:t>
            </w:r>
          </w:p>
          <w:p w14:paraId="34064A05" w14:textId="77777777" w:rsidR="00D5470B" w:rsidRPr="000F7038" w:rsidRDefault="00D5470B"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0.1209</w:t>
            </w:r>
          </w:p>
        </w:tc>
        <w:tc>
          <w:tcPr>
            <w:tcW w:w="1229" w:type="dxa"/>
            <w:tcBorders>
              <w:top w:val="nil"/>
              <w:bottom w:val="single" w:sz="4" w:space="0" w:color="auto"/>
            </w:tcBorders>
            <w:vAlign w:val="bottom"/>
          </w:tcPr>
          <w:p w14:paraId="70528086" w14:textId="3D0B87C3" w:rsidR="001961AF" w:rsidRPr="000F7038" w:rsidRDefault="00D5470B"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1</w:t>
            </w:r>
          </w:p>
          <w:p w14:paraId="2819854C" w14:textId="4CFB31F2" w:rsidR="00D5470B" w:rsidRPr="000F7038" w:rsidRDefault="00D5470B" w:rsidP="006E01D2">
            <w:pPr>
              <w:autoSpaceDE w:val="0"/>
              <w:autoSpaceDN w:val="0"/>
              <w:adjustRightInd w:val="0"/>
              <w:ind w:left="360" w:right="10"/>
              <w:rPr>
                <w:rFonts w:ascii="Times New Roman" w:hAnsi="Times New Roman" w:cs="Times New Roman"/>
                <w:color w:val="000000" w:themeColor="text1"/>
                <w:sz w:val="24"/>
                <w:szCs w:val="24"/>
              </w:rPr>
            </w:pPr>
          </w:p>
        </w:tc>
      </w:tr>
    </w:tbl>
    <w:p w14:paraId="6532B71E" w14:textId="77777777" w:rsidR="006E01D2" w:rsidRPr="000F7038" w:rsidRDefault="006E01D2" w:rsidP="006E01D2">
      <w:pPr>
        <w:pStyle w:val="ListParagraph"/>
        <w:spacing w:after="0" w:line="240" w:lineRule="auto"/>
        <w:ind w:left="180" w:hanging="18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    </w:t>
      </w:r>
      <w:r w:rsidR="001961AF" w:rsidRPr="000F7038">
        <w:rPr>
          <w:rFonts w:ascii="Times New Roman" w:hAnsi="Times New Roman" w:cs="Times New Roman"/>
          <w:color w:val="000000" w:themeColor="text1"/>
          <w:sz w:val="24"/>
          <w:szCs w:val="24"/>
        </w:rPr>
        <w:t xml:space="preserve">***Correlation is significant at the 0.01 level, **Correlation is significant at the 0.05 level, </w:t>
      </w:r>
      <w:r w:rsidRPr="000F7038">
        <w:rPr>
          <w:rFonts w:ascii="Times New Roman" w:hAnsi="Times New Roman" w:cs="Times New Roman"/>
          <w:color w:val="000000" w:themeColor="text1"/>
          <w:sz w:val="24"/>
          <w:szCs w:val="24"/>
        </w:rPr>
        <w:t xml:space="preserve">  </w:t>
      </w:r>
    </w:p>
    <w:p w14:paraId="52EB67F7" w14:textId="3AA60C2D" w:rsidR="00D5470B" w:rsidRPr="000F7038" w:rsidRDefault="006E01D2" w:rsidP="006E01D2">
      <w:pPr>
        <w:pStyle w:val="ListParagraph"/>
        <w:spacing w:after="0" w:line="240" w:lineRule="auto"/>
        <w:ind w:left="180" w:hanging="18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    &amp; </w:t>
      </w:r>
      <w:r w:rsidR="001961AF" w:rsidRPr="000F7038">
        <w:rPr>
          <w:rFonts w:ascii="Times New Roman" w:hAnsi="Times New Roman" w:cs="Times New Roman"/>
          <w:color w:val="000000" w:themeColor="text1"/>
          <w:sz w:val="24"/>
          <w:szCs w:val="24"/>
        </w:rPr>
        <w:t>*Correlation is significant at the 0.10 level</w:t>
      </w:r>
    </w:p>
    <w:p w14:paraId="335B7480" w14:textId="0CB21E7E" w:rsidR="00F96453" w:rsidRDefault="00F96453" w:rsidP="006E01D2">
      <w:pPr>
        <w:pStyle w:val="ListParagraph"/>
        <w:spacing w:after="0" w:line="240" w:lineRule="auto"/>
        <w:ind w:left="180" w:hanging="180"/>
        <w:rPr>
          <w:rFonts w:ascii="Times New Roman" w:hAnsi="Times New Roman" w:cs="Times New Roman"/>
          <w:color w:val="000000" w:themeColor="text1"/>
          <w:sz w:val="24"/>
          <w:szCs w:val="24"/>
        </w:rPr>
      </w:pPr>
    </w:p>
    <w:p w14:paraId="284887B0" w14:textId="77777777" w:rsidR="00037B03" w:rsidRPr="000F7038" w:rsidRDefault="00037B03" w:rsidP="006E01D2">
      <w:pPr>
        <w:pStyle w:val="ListParagraph"/>
        <w:spacing w:after="0" w:line="240" w:lineRule="auto"/>
        <w:ind w:left="180" w:hanging="180"/>
        <w:rPr>
          <w:rFonts w:ascii="Times New Roman" w:hAnsi="Times New Roman" w:cs="Times New Roman"/>
          <w:color w:val="000000" w:themeColor="text1"/>
          <w:sz w:val="24"/>
          <w:szCs w:val="24"/>
        </w:rPr>
      </w:pPr>
    </w:p>
    <w:p w14:paraId="025F88B4" w14:textId="5C951AB9" w:rsidR="00E030CF" w:rsidRPr="000F7038" w:rsidRDefault="009C38CF" w:rsidP="006E01D2">
      <w:pPr>
        <w:pStyle w:val="ListParagraph"/>
        <w:numPr>
          <w:ilvl w:val="1"/>
          <w:numId w:val="1"/>
        </w:numPr>
        <w:spacing w:after="0" w:line="240" w:lineRule="auto"/>
        <w:ind w:left="54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Multiple Regression Analysis</w:t>
      </w:r>
    </w:p>
    <w:p w14:paraId="5F2F1F1F" w14:textId="77777777" w:rsidR="009C38CF" w:rsidRPr="000F7038" w:rsidRDefault="009C38CF" w:rsidP="006E01D2">
      <w:pPr>
        <w:pStyle w:val="ListParagraph"/>
        <w:spacing w:after="0" w:line="240" w:lineRule="auto"/>
        <w:ind w:left="540"/>
        <w:rPr>
          <w:rFonts w:ascii="Times New Roman" w:hAnsi="Times New Roman" w:cs="Times New Roman"/>
          <w:color w:val="000000" w:themeColor="text1"/>
          <w:sz w:val="24"/>
          <w:szCs w:val="24"/>
        </w:rPr>
      </w:pPr>
    </w:p>
    <w:p w14:paraId="45819852" w14:textId="0A34D7D0" w:rsidR="00D5470B" w:rsidRPr="000F7038" w:rsidRDefault="00E030CF" w:rsidP="000F7038">
      <w:pPr>
        <w:pStyle w:val="ListParagraph"/>
        <w:spacing w:after="0" w:line="240" w:lineRule="auto"/>
        <w:ind w:left="540"/>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Table 3: </w:t>
      </w:r>
      <w:r w:rsidR="00D5470B" w:rsidRPr="000F7038">
        <w:rPr>
          <w:rFonts w:ascii="Times New Roman" w:hAnsi="Times New Roman" w:cs="Times New Roman"/>
          <w:color w:val="000000" w:themeColor="text1"/>
          <w:sz w:val="24"/>
          <w:szCs w:val="24"/>
        </w:rPr>
        <w:t>Summary of Panel Data and Analysis</w:t>
      </w: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3654"/>
      </w:tblGrid>
      <w:tr w:rsidR="000F7038" w:rsidRPr="000F7038" w14:paraId="7BE103E3" w14:textId="77777777" w:rsidTr="00037B03">
        <w:trPr>
          <w:trHeight w:val="300"/>
          <w:jc w:val="center"/>
        </w:trPr>
        <w:tc>
          <w:tcPr>
            <w:tcW w:w="3653" w:type="dxa"/>
            <w:tcBorders>
              <w:top w:val="single" w:sz="4" w:space="0" w:color="auto"/>
              <w:bottom w:val="single" w:sz="4" w:space="0" w:color="auto"/>
            </w:tcBorders>
          </w:tcPr>
          <w:p w14:paraId="32122D95" w14:textId="4D91E032" w:rsidR="00E030CF" w:rsidRPr="000F7038" w:rsidRDefault="00F96453" w:rsidP="006E01D2">
            <w:pP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Variable</w:t>
            </w:r>
          </w:p>
        </w:tc>
        <w:tc>
          <w:tcPr>
            <w:tcW w:w="3654" w:type="dxa"/>
            <w:tcBorders>
              <w:top w:val="single" w:sz="4" w:space="0" w:color="auto"/>
              <w:bottom w:val="single" w:sz="4" w:space="0" w:color="auto"/>
            </w:tcBorders>
          </w:tcPr>
          <w:p w14:paraId="7E6B77D4" w14:textId="58D25F2F" w:rsidR="00E030CF" w:rsidRPr="000F7038" w:rsidRDefault="00E030CF" w:rsidP="006E01D2">
            <w:pPr>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SPREAD Model</w:t>
            </w:r>
          </w:p>
        </w:tc>
      </w:tr>
      <w:tr w:rsidR="000F7038" w:rsidRPr="000F7038" w14:paraId="254865FD" w14:textId="77777777" w:rsidTr="00F96453">
        <w:trPr>
          <w:trHeight w:val="476"/>
          <w:jc w:val="center"/>
        </w:trPr>
        <w:tc>
          <w:tcPr>
            <w:tcW w:w="3653" w:type="dxa"/>
            <w:tcBorders>
              <w:top w:val="single" w:sz="4" w:space="0" w:color="auto"/>
            </w:tcBorders>
          </w:tcPr>
          <w:p w14:paraId="2AF6AD6E" w14:textId="77777777" w:rsidR="00E030CF" w:rsidRPr="000F7038" w:rsidRDefault="00E030CF" w:rsidP="006E01D2">
            <w:pP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Constant</w:t>
            </w:r>
          </w:p>
        </w:tc>
        <w:tc>
          <w:tcPr>
            <w:tcW w:w="3654" w:type="dxa"/>
            <w:tcBorders>
              <w:top w:val="single" w:sz="4" w:space="0" w:color="auto"/>
            </w:tcBorders>
          </w:tcPr>
          <w:p w14:paraId="546830BF" w14:textId="77777777" w:rsidR="00E030CF" w:rsidRPr="000F7038" w:rsidRDefault="00E030CF" w:rsidP="006E01D2">
            <w:pPr>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0.0329</w:t>
            </w:r>
          </w:p>
          <w:p w14:paraId="3C22FCC8" w14:textId="77777777" w:rsidR="00E030CF" w:rsidRPr="000F7038" w:rsidRDefault="00E030CF" w:rsidP="006E01D2">
            <w:pPr>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 (0.5788)</w:t>
            </w:r>
          </w:p>
        </w:tc>
      </w:tr>
      <w:tr w:rsidR="000F7038" w:rsidRPr="000F7038" w14:paraId="3CA2AE48" w14:textId="77777777" w:rsidTr="00F96453">
        <w:trPr>
          <w:trHeight w:val="463"/>
          <w:jc w:val="center"/>
        </w:trPr>
        <w:tc>
          <w:tcPr>
            <w:tcW w:w="3653" w:type="dxa"/>
          </w:tcPr>
          <w:p w14:paraId="657D72E0" w14:textId="77777777" w:rsidR="00E030CF" w:rsidRPr="000F7038" w:rsidRDefault="00E030CF" w:rsidP="006E01D2">
            <w:pP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ED</w:t>
            </w:r>
          </w:p>
        </w:tc>
        <w:tc>
          <w:tcPr>
            <w:tcW w:w="3654" w:type="dxa"/>
          </w:tcPr>
          <w:p w14:paraId="18ACDEA8" w14:textId="77777777" w:rsidR="00E030CF" w:rsidRPr="000F7038" w:rsidRDefault="00E030CF" w:rsidP="006E01D2">
            <w:pPr>
              <w:tabs>
                <w:tab w:val="left" w:pos="2040"/>
              </w:tabs>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0.0003</w:t>
            </w:r>
          </w:p>
          <w:p w14:paraId="3AE6A05C" w14:textId="48C9E6B5" w:rsidR="00E030CF" w:rsidRPr="000F7038" w:rsidRDefault="00E030CF" w:rsidP="006E01D2">
            <w:pPr>
              <w:tabs>
                <w:tab w:val="left" w:pos="2040"/>
              </w:tabs>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(0.0000)</w:t>
            </w:r>
            <w:r w:rsidR="001961AF" w:rsidRPr="000F7038">
              <w:rPr>
                <w:rFonts w:ascii="Times New Roman" w:hAnsi="Times New Roman" w:cs="Times New Roman"/>
                <w:color w:val="000000" w:themeColor="text1"/>
                <w:sz w:val="24"/>
                <w:szCs w:val="24"/>
              </w:rPr>
              <w:t xml:space="preserve"> ***</w:t>
            </w:r>
          </w:p>
        </w:tc>
      </w:tr>
      <w:tr w:rsidR="000F7038" w:rsidRPr="000F7038" w14:paraId="2FBA1E14" w14:textId="77777777" w:rsidTr="00F96453">
        <w:trPr>
          <w:trHeight w:val="463"/>
          <w:jc w:val="center"/>
        </w:trPr>
        <w:tc>
          <w:tcPr>
            <w:tcW w:w="3653" w:type="dxa"/>
          </w:tcPr>
          <w:p w14:paraId="4804D739" w14:textId="77777777" w:rsidR="00E030CF" w:rsidRPr="000F7038" w:rsidRDefault="00E030CF" w:rsidP="006E01D2">
            <w:pP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LEV</w:t>
            </w:r>
          </w:p>
        </w:tc>
        <w:tc>
          <w:tcPr>
            <w:tcW w:w="3654" w:type="dxa"/>
          </w:tcPr>
          <w:p w14:paraId="7CC18217" w14:textId="77777777" w:rsidR="00E030CF" w:rsidRPr="000F7038" w:rsidRDefault="00E030CF" w:rsidP="006E01D2">
            <w:pPr>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-0.0022</w:t>
            </w:r>
          </w:p>
          <w:p w14:paraId="26A8AB23" w14:textId="77777777" w:rsidR="00E030CF" w:rsidRPr="000F7038" w:rsidRDefault="00E030CF" w:rsidP="006E01D2">
            <w:pPr>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(0.5208)</w:t>
            </w:r>
          </w:p>
        </w:tc>
      </w:tr>
      <w:tr w:rsidR="000F7038" w:rsidRPr="000F7038" w14:paraId="3ED7C22B" w14:textId="77777777" w:rsidTr="00F96453">
        <w:trPr>
          <w:trHeight w:val="476"/>
          <w:jc w:val="center"/>
        </w:trPr>
        <w:tc>
          <w:tcPr>
            <w:tcW w:w="3653" w:type="dxa"/>
          </w:tcPr>
          <w:p w14:paraId="1220C03B" w14:textId="77777777" w:rsidR="00E030CF" w:rsidRPr="000F7038" w:rsidRDefault="00E030CF" w:rsidP="006E01D2">
            <w:pP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LSIZE</w:t>
            </w:r>
          </w:p>
        </w:tc>
        <w:tc>
          <w:tcPr>
            <w:tcW w:w="3654" w:type="dxa"/>
          </w:tcPr>
          <w:p w14:paraId="0D7B5E8B" w14:textId="77777777" w:rsidR="00E030CF" w:rsidRPr="000F7038" w:rsidRDefault="00E030CF" w:rsidP="006E01D2">
            <w:pPr>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-0.0001</w:t>
            </w:r>
          </w:p>
          <w:p w14:paraId="50E6BC6F" w14:textId="77777777" w:rsidR="00E030CF" w:rsidRPr="000F7038" w:rsidRDefault="00E030CF" w:rsidP="006E01D2">
            <w:pPr>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 (0.9775)</w:t>
            </w:r>
          </w:p>
        </w:tc>
      </w:tr>
      <w:tr w:rsidR="000F7038" w:rsidRPr="000F7038" w14:paraId="38073157" w14:textId="77777777" w:rsidTr="00F96453">
        <w:trPr>
          <w:trHeight w:val="435"/>
          <w:jc w:val="center"/>
        </w:trPr>
        <w:tc>
          <w:tcPr>
            <w:tcW w:w="3653" w:type="dxa"/>
            <w:tcBorders>
              <w:bottom w:val="single" w:sz="4" w:space="0" w:color="auto"/>
            </w:tcBorders>
          </w:tcPr>
          <w:p w14:paraId="7640CF46" w14:textId="77777777" w:rsidR="00E030CF" w:rsidRPr="000F7038" w:rsidRDefault="00E030CF" w:rsidP="006E01D2">
            <w:pP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BTMK</w:t>
            </w:r>
          </w:p>
        </w:tc>
        <w:tc>
          <w:tcPr>
            <w:tcW w:w="3654" w:type="dxa"/>
            <w:tcBorders>
              <w:bottom w:val="single" w:sz="4" w:space="0" w:color="auto"/>
            </w:tcBorders>
          </w:tcPr>
          <w:p w14:paraId="2F5CA099" w14:textId="77777777" w:rsidR="00E030CF" w:rsidRPr="000F7038" w:rsidRDefault="00E030CF" w:rsidP="006E01D2">
            <w:pPr>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-0.0017</w:t>
            </w:r>
          </w:p>
          <w:p w14:paraId="0F89E447" w14:textId="77777777" w:rsidR="00E030CF" w:rsidRPr="000F7038" w:rsidRDefault="00E030CF" w:rsidP="006E01D2">
            <w:pPr>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(0.4374)</w:t>
            </w:r>
          </w:p>
        </w:tc>
      </w:tr>
      <w:tr w:rsidR="000F7038" w:rsidRPr="000F7038" w14:paraId="296B0DFA" w14:textId="77777777" w:rsidTr="00037B03">
        <w:trPr>
          <w:trHeight w:val="303"/>
          <w:jc w:val="center"/>
        </w:trPr>
        <w:tc>
          <w:tcPr>
            <w:tcW w:w="3653" w:type="dxa"/>
            <w:tcBorders>
              <w:top w:val="single" w:sz="4" w:space="0" w:color="auto"/>
              <w:bottom w:val="single" w:sz="4" w:space="0" w:color="auto"/>
            </w:tcBorders>
          </w:tcPr>
          <w:p w14:paraId="3ED910EB" w14:textId="2F3B96B5" w:rsidR="00F96453" w:rsidRPr="000F7038" w:rsidRDefault="00F96453" w:rsidP="006E01D2">
            <w:pP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R-square</w:t>
            </w:r>
          </w:p>
        </w:tc>
        <w:tc>
          <w:tcPr>
            <w:tcW w:w="3654" w:type="dxa"/>
            <w:tcBorders>
              <w:top w:val="single" w:sz="4" w:space="0" w:color="auto"/>
              <w:bottom w:val="single" w:sz="4" w:space="0" w:color="auto"/>
            </w:tcBorders>
          </w:tcPr>
          <w:p w14:paraId="286AEF4C" w14:textId="630CD7FE" w:rsidR="00F96453" w:rsidRPr="000F7038" w:rsidRDefault="00F96453" w:rsidP="006E01D2">
            <w:pPr>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0.049</w:t>
            </w:r>
          </w:p>
        </w:tc>
      </w:tr>
      <w:tr w:rsidR="000F7038" w:rsidRPr="000F7038" w14:paraId="59BEA4B4" w14:textId="77777777" w:rsidTr="00037B03">
        <w:trPr>
          <w:trHeight w:val="279"/>
          <w:jc w:val="center"/>
        </w:trPr>
        <w:tc>
          <w:tcPr>
            <w:tcW w:w="3653" w:type="dxa"/>
            <w:tcBorders>
              <w:top w:val="single" w:sz="4" w:space="0" w:color="auto"/>
              <w:bottom w:val="single" w:sz="4" w:space="0" w:color="auto"/>
            </w:tcBorders>
          </w:tcPr>
          <w:p w14:paraId="0B07CC55" w14:textId="52B4266C" w:rsidR="00F96453" w:rsidRPr="000F7038" w:rsidRDefault="00F96453" w:rsidP="006E01D2">
            <w:pP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Adjusted r-square</w:t>
            </w:r>
          </w:p>
        </w:tc>
        <w:tc>
          <w:tcPr>
            <w:tcW w:w="3654" w:type="dxa"/>
            <w:tcBorders>
              <w:top w:val="single" w:sz="4" w:space="0" w:color="auto"/>
              <w:bottom w:val="single" w:sz="4" w:space="0" w:color="auto"/>
            </w:tcBorders>
          </w:tcPr>
          <w:p w14:paraId="45369353" w14:textId="2BC048E8" w:rsidR="00F96453" w:rsidRPr="000F7038" w:rsidRDefault="00F96453" w:rsidP="006E01D2">
            <w:pPr>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0.041</w:t>
            </w:r>
          </w:p>
        </w:tc>
      </w:tr>
      <w:tr w:rsidR="000F7038" w:rsidRPr="000F7038" w14:paraId="79235C5E" w14:textId="77777777" w:rsidTr="00FB60DE">
        <w:trPr>
          <w:trHeight w:val="231"/>
          <w:jc w:val="center"/>
        </w:trPr>
        <w:tc>
          <w:tcPr>
            <w:tcW w:w="3653" w:type="dxa"/>
            <w:tcBorders>
              <w:top w:val="single" w:sz="4" w:space="0" w:color="auto"/>
              <w:bottom w:val="single" w:sz="4" w:space="0" w:color="auto"/>
            </w:tcBorders>
          </w:tcPr>
          <w:p w14:paraId="06FC9D44" w14:textId="77777777" w:rsidR="00E030CF" w:rsidRPr="000F7038" w:rsidRDefault="00E030CF" w:rsidP="006E01D2">
            <w:pP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F</w:t>
            </w:r>
          </w:p>
        </w:tc>
        <w:tc>
          <w:tcPr>
            <w:tcW w:w="3654" w:type="dxa"/>
            <w:tcBorders>
              <w:top w:val="single" w:sz="4" w:space="0" w:color="auto"/>
              <w:bottom w:val="single" w:sz="4" w:space="0" w:color="auto"/>
            </w:tcBorders>
            <w:vAlign w:val="bottom"/>
          </w:tcPr>
          <w:p w14:paraId="2429F832" w14:textId="77777777" w:rsidR="00E030CF" w:rsidRPr="000F7038" w:rsidRDefault="00E030CF" w:rsidP="006E01D2">
            <w:pPr>
              <w:autoSpaceDE w:val="0"/>
              <w:autoSpaceDN w:val="0"/>
              <w:adjustRightInd w:val="0"/>
              <w:ind w:right="10"/>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5.9231</w:t>
            </w:r>
          </w:p>
        </w:tc>
      </w:tr>
      <w:tr w:rsidR="000F7038" w:rsidRPr="000F7038" w14:paraId="60181E7E" w14:textId="77777777" w:rsidTr="00FB60DE">
        <w:trPr>
          <w:trHeight w:val="231"/>
          <w:jc w:val="center"/>
        </w:trPr>
        <w:tc>
          <w:tcPr>
            <w:tcW w:w="3653" w:type="dxa"/>
            <w:tcBorders>
              <w:top w:val="single" w:sz="4" w:space="0" w:color="auto"/>
              <w:bottom w:val="single" w:sz="4" w:space="0" w:color="auto"/>
            </w:tcBorders>
          </w:tcPr>
          <w:p w14:paraId="5C9B89EB" w14:textId="60B65A0F" w:rsidR="00E030CF" w:rsidRPr="000F7038" w:rsidRDefault="00F96453" w:rsidP="006E01D2">
            <w:pPr>
              <w:rPr>
                <w:rFonts w:ascii="Times New Roman" w:hAnsi="Times New Roman" w:cs="Times New Roman"/>
                <w:color w:val="000000" w:themeColor="text1"/>
                <w:sz w:val="24"/>
                <w:szCs w:val="24"/>
              </w:rPr>
            </w:pPr>
            <w:proofErr w:type="spellStart"/>
            <w:r w:rsidRPr="000F7038">
              <w:rPr>
                <w:rFonts w:ascii="Times New Roman" w:hAnsi="Times New Roman" w:cs="Times New Roman"/>
                <w:color w:val="000000" w:themeColor="text1"/>
                <w:sz w:val="24"/>
                <w:szCs w:val="24"/>
              </w:rPr>
              <w:t>Anova</w:t>
            </w:r>
            <w:proofErr w:type="spellEnd"/>
            <w:r w:rsidRPr="000F7038">
              <w:rPr>
                <w:rFonts w:ascii="Times New Roman" w:hAnsi="Times New Roman" w:cs="Times New Roman"/>
                <w:color w:val="000000" w:themeColor="text1"/>
                <w:sz w:val="24"/>
                <w:szCs w:val="24"/>
              </w:rPr>
              <w:t>-p</w:t>
            </w:r>
            <w:r w:rsidR="00E030CF" w:rsidRPr="000F7038">
              <w:rPr>
                <w:rFonts w:ascii="Times New Roman" w:hAnsi="Times New Roman" w:cs="Times New Roman"/>
                <w:color w:val="000000" w:themeColor="text1"/>
                <w:sz w:val="24"/>
                <w:szCs w:val="24"/>
              </w:rPr>
              <w:t>robability</w:t>
            </w:r>
            <w:r w:rsidRPr="000F7038">
              <w:rPr>
                <w:rFonts w:ascii="Times New Roman" w:hAnsi="Times New Roman" w:cs="Times New Roman"/>
                <w:color w:val="000000" w:themeColor="text1"/>
                <w:sz w:val="24"/>
                <w:szCs w:val="24"/>
              </w:rPr>
              <w:t xml:space="preserve"> statistic</w:t>
            </w:r>
          </w:p>
        </w:tc>
        <w:tc>
          <w:tcPr>
            <w:tcW w:w="3654" w:type="dxa"/>
            <w:tcBorders>
              <w:top w:val="single" w:sz="4" w:space="0" w:color="auto"/>
              <w:bottom w:val="single" w:sz="4" w:space="0" w:color="auto"/>
            </w:tcBorders>
            <w:vAlign w:val="bottom"/>
          </w:tcPr>
          <w:p w14:paraId="5606DB4E" w14:textId="3285CFE1" w:rsidR="00E030CF" w:rsidRPr="000F7038" w:rsidRDefault="00E030CF" w:rsidP="006E01D2">
            <w:pPr>
              <w:autoSpaceDE w:val="0"/>
              <w:autoSpaceDN w:val="0"/>
              <w:adjustRightInd w:val="0"/>
              <w:ind w:right="10"/>
              <w:jc w:val="center"/>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0.0001</w:t>
            </w:r>
            <w:r w:rsidR="001961AF" w:rsidRPr="000F7038">
              <w:rPr>
                <w:rFonts w:ascii="Times New Roman" w:hAnsi="Times New Roman" w:cs="Times New Roman"/>
                <w:color w:val="000000" w:themeColor="text1"/>
                <w:sz w:val="24"/>
                <w:szCs w:val="24"/>
              </w:rPr>
              <w:t>***</w:t>
            </w:r>
          </w:p>
        </w:tc>
      </w:tr>
      <w:tr w:rsidR="001961AF" w:rsidRPr="000F7038" w14:paraId="0407CB02" w14:textId="77777777" w:rsidTr="00FB60DE">
        <w:trPr>
          <w:trHeight w:val="231"/>
          <w:jc w:val="center"/>
        </w:trPr>
        <w:tc>
          <w:tcPr>
            <w:tcW w:w="7307" w:type="dxa"/>
            <w:gridSpan w:val="2"/>
            <w:tcBorders>
              <w:top w:val="single" w:sz="4" w:space="0" w:color="auto"/>
            </w:tcBorders>
          </w:tcPr>
          <w:p w14:paraId="58926A60" w14:textId="3C412292" w:rsidR="001961AF" w:rsidRPr="000F7038" w:rsidRDefault="001961AF" w:rsidP="006E01D2">
            <w:pPr>
              <w:autoSpaceDE w:val="0"/>
              <w:autoSpaceDN w:val="0"/>
              <w:adjustRightInd w:val="0"/>
              <w:ind w:right="10"/>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***Correlation is significant at the 0.01 level</w:t>
            </w:r>
          </w:p>
        </w:tc>
      </w:tr>
    </w:tbl>
    <w:p w14:paraId="29477108" w14:textId="36E6518A" w:rsidR="00D5470B" w:rsidRPr="000F7038" w:rsidRDefault="00D5470B" w:rsidP="006E01D2">
      <w:pPr>
        <w:spacing w:after="0" w:line="240" w:lineRule="auto"/>
        <w:ind w:left="900"/>
        <w:rPr>
          <w:rFonts w:ascii="Times New Roman" w:hAnsi="Times New Roman" w:cs="Times New Roman"/>
          <w:color w:val="000000" w:themeColor="text1"/>
          <w:sz w:val="24"/>
          <w:szCs w:val="24"/>
        </w:rPr>
      </w:pPr>
    </w:p>
    <w:p w14:paraId="3CD2E1DE" w14:textId="09E4A412" w:rsidR="00E030CF" w:rsidRPr="000F7038" w:rsidRDefault="00E030CF" w:rsidP="006E01D2">
      <w:pPr>
        <w:spacing w:after="0" w:line="240" w:lineRule="auto"/>
        <w:ind w:left="9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Table </w:t>
      </w:r>
      <w:r w:rsidR="009C38CF" w:rsidRPr="000F7038">
        <w:rPr>
          <w:rFonts w:ascii="Times New Roman" w:hAnsi="Times New Roman" w:cs="Times New Roman"/>
          <w:color w:val="000000" w:themeColor="text1"/>
          <w:sz w:val="24"/>
          <w:szCs w:val="24"/>
        </w:rPr>
        <w:t>3</w:t>
      </w:r>
      <w:r w:rsidRPr="000F7038">
        <w:rPr>
          <w:rFonts w:ascii="Times New Roman" w:hAnsi="Times New Roman" w:cs="Times New Roman"/>
          <w:color w:val="000000" w:themeColor="text1"/>
          <w:sz w:val="24"/>
          <w:szCs w:val="24"/>
        </w:rPr>
        <w:t xml:space="preserve"> </w:t>
      </w:r>
      <w:r w:rsidR="009C38CF" w:rsidRPr="000F7038">
        <w:rPr>
          <w:rFonts w:ascii="Times New Roman" w:hAnsi="Times New Roman" w:cs="Times New Roman"/>
          <w:color w:val="000000" w:themeColor="text1"/>
          <w:sz w:val="24"/>
          <w:szCs w:val="24"/>
        </w:rPr>
        <w:t>indicate</w:t>
      </w:r>
      <w:r w:rsidR="00AF4DE8" w:rsidRPr="000F7038">
        <w:rPr>
          <w:rFonts w:ascii="Times New Roman" w:hAnsi="Times New Roman" w:cs="Times New Roman"/>
          <w:color w:val="000000" w:themeColor="text1"/>
          <w:sz w:val="24"/>
          <w:szCs w:val="24"/>
        </w:rPr>
        <w:t>s</w:t>
      </w:r>
      <w:r w:rsidRPr="000F7038">
        <w:rPr>
          <w:rFonts w:ascii="Times New Roman" w:hAnsi="Times New Roman" w:cs="Times New Roman"/>
          <w:color w:val="000000" w:themeColor="text1"/>
          <w:sz w:val="24"/>
          <w:szCs w:val="24"/>
        </w:rPr>
        <w:t xml:space="preserve"> that the regression result of SPREAD model. According</w:t>
      </w:r>
      <w:r w:rsidR="005710F8" w:rsidRPr="000F7038">
        <w:rPr>
          <w:rFonts w:ascii="Times New Roman" w:hAnsi="Times New Roman" w:cs="Times New Roman"/>
          <w:color w:val="000000" w:themeColor="text1"/>
          <w:sz w:val="24"/>
          <w:szCs w:val="24"/>
        </w:rPr>
        <w:t xml:space="preserve"> to</w:t>
      </w:r>
      <w:r w:rsidRPr="000F7038">
        <w:rPr>
          <w:rFonts w:ascii="Times New Roman" w:hAnsi="Times New Roman" w:cs="Times New Roman"/>
          <w:color w:val="000000" w:themeColor="text1"/>
          <w:sz w:val="24"/>
          <w:szCs w:val="24"/>
        </w:rPr>
        <w:t xml:space="preserve"> the full model equation</w:t>
      </w:r>
      <w:r w:rsidR="005710F8" w:rsidRPr="000F7038">
        <w:rPr>
          <w:rFonts w:ascii="Times New Roman" w:hAnsi="Times New Roman" w:cs="Times New Roman"/>
          <w:color w:val="000000" w:themeColor="text1"/>
          <w:sz w:val="24"/>
          <w:szCs w:val="24"/>
        </w:rPr>
        <w:t>,</w:t>
      </w:r>
      <w:r w:rsidRPr="000F7038">
        <w:rPr>
          <w:rFonts w:ascii="Times New Roman" w:hAnsi="Times New Roman" w:cs="Times New Roman"/>
          <w:color w:val="000000" w:themeColor="text1"/>
          <w:sz w:val="24"/>
          <w:szCs w:val="24"/>
        </w:rPr>
        <w:t xml:space="preserve"> the stock market liquidity (SML) </w:t>
      </w:r>
      <w:r w:rsidR="00AF4DE8" w:rsidRPr="000F7038">
        <w:rPr>
          <w:rFonts w:ascii="Times New Roman" w:hAnsi="Times New Roman" w:cs="Times New Roman"/>
          <w:color w:val="000000" w:themeColor="text1"/>
          <w:sz w:val="24"/>
          <w:szCs w:val="24"/>
        </w:rPr>
        <w:t>in term of SPREAD is the</w:t>
      </w:r>
      <w:r w:rsidRPr="000F7038">
        <w:rPr>
          <w:rFonts w:ascii="Times New Roman" w:hAnsi="Times New Roman" w:cs="Times New Roman"/>
          <w:color w:val="000000" w:themeColor="text1"/>
          <w:sz w:val="24"/>
          <w:szCs w:val="24"/>
        </w:rPr>
        <w:t xml:space="preserve"> dependent variable. the </w:t>
      </w:r>
      <w:r w:rsidR="00AF4DE8" w:rsidRPr="000F7038">
        <w:rPr>
          <w:rFonts w:ascii="Times New Roman" w:hAnsi="Times New Roman" w:cs="Times New Roman"/>
          <w:color w:val="000000" w:themeColor="text1"/>
          <w:sz w:val="24"/>
          <w:szCs w:val="24"/>
        </w:rPr>
        <w:t>above result show that the</w:t>
      </w:r>
      <w:r w:rsidRPr="000F7038">
        <w:rPr>
          <w:rFonts w:ascii="Times New Roman" w:hAnsi="Times New Roman" w:cs="Times New Roman"/>
          <w:color w:val="000000" w:themeColor="text1"/>
          <w:sz w:val="24"/>
          <w:szCs w:val="24"/>
        </w:rPr>
        <w:t xml:space="preserve"> p-value of environmental disclosure towards bid-ask spread </w:t>
      </w:r>
      <w:r w:rsidR="00AF4DE8" w:rsidRPr="000F7038">
        <w:rPr>
          <w:rFonts w:ascii="Times New Roman" w:hAnsi="Times New Roman" w:cs="Times New Roman"/>
          <w:color w:val="000000" w:themeColor="text1"/>
          <w:sz w:val="24"/>
          <w:szCs w:val="24"/>
        </w:rPr>
        <w:t>is</w:t>
      </w:r>
      <w:r w:rsidRPr="000F7038">
        <w:rPr>
          <w:rFonts w:ascii="Times New Roman" w:hAnsi="Times New Roman" w:cs="Times New Roman"/>
          <w:color w:val="000000" w:themeColor="text1"/>
          <w:sz w:val="24"/>
          <w:szCs w:val="24"/>
        </w:rPr>
        <w:t xml:space="preserve"> 0.000</w:t>
      </w:r>
      <w:r w:rsidR="00AF4DE8" w:rsidRPr="000F7038">
        <w:rPr>
          <w:rFonts w:ascii="Times New Roman" w:hAnsi="Times New Roman" w:cs="Times New Roman"/>
          <w:color w:val="000000" w:themeColor="text1"/>
          <w:sz w:val="24"/>
          <w:szCs w:val="24"/>
        </w:rPr>
        <w:t>0</w:t>
      </w:r>
      <w:r w:rsidRPr="000F7038">
        <w:rPr>
          <w:rFonts w:ascii="Times New Roman" w:hAnsi="Times New Roman" w:cs="Times New Roman"/>
          <w:color w:val="000000" w:themeColor="text1"/>
          <w:sz w:val="24"/>
          <w:szCs w:val="24"/>
        </w:rPr>
        <w:t xml:space="preserve"> smaller than 0.01 (1% significance level). </w:t>
      </w:r>
      <w:proofErr w:type="spellStart"/>
      <w:r w:rsidRPr="000F7038">
        <w:rPr>
          <w:rFonts w:ascii="Times New Roman" w:hAnsi="Times New Roman" w:cs="Times New Roman"/>
          <w:color w:val="000000" w:themeColor="text1"/>
          <w:sz w:val="24"/>
          <w:szCs w:val="24"/>
        </w:rPr>
        <w:t>Ajina</w:t>
      </w:r>
      <w:proofErr w:type="spellEnd"/>
      <w:r w:rsidRPr="000F7038">
        <w:rPr>
          <w:rFonts w:ascii="Times New Roman" w:hAnsi="Times New Roman" w:cs="Times New Roman"/>
          <w:color w:val="000000" w:themeColor="text1"/>
          <w:sz w:val="24"/>
          <w:szCs w:val="24"/>
        </w:rPr>
        <w:t xml:space="preserve"> et al. (2015) indicate positive relationship between the extent of corporate disclosure and market liquidity which rich of environment information which the trading volume increased the trading volume. Not only that, </w:t>
      </w:r>
      <w:r w:rsidR="00AF4DE8" w:rsidRPr="000F7038">
        <w:rPr>
          <w:rFonts w:ascii="Times New Roman" w:hAnsi="Times New Roman" w:cs="Times New Roman"/>
          <w:color w:val="000000" w:themeColor="text1"/>
          <w:sz w:val="24"/>
          <w:szCs w:val="24"/>
        </w:rPr>
        <w:t>c</w:t>
      </w:r>
      <w:r w:rsidRPr="000F7038">
        <w:rPr>
          <w:rFonts w:ascii="Times New Roman" w:hAnsi="Times New Roman" w:cs="Times New Roman"/>
          <w:color w:val="000000" w:themeColor="text1"/>
          <w:sz w:val="24"/>
          <w:szCs w:val="24"/>
        </w:rPr>
        <w:t xml:space="preserve">orporate disclosure is viewed as a positive signal to restore confidence in the market and attract investors to trade in a transparent environment. Next, the results that found by </w:t>
      </w:r>
      <w:proofErr w:type="spellStart"/>
      <w:r w:rsidRPr="000F7038">
        <w:rPr>
          <w:rFonts w:ascii="Times New Roman" w:hAnsi="Times New Roman" w:cs="Times New Roman"/>
          <w:color w:val="000000" w:themeColor="text1"/>
          <w:sz w:val="24"/>
          <w:szCs w:val="24"/>
        </w:rPr>
        <w:t>Leuz</w:t>
      </w:r>
      <w:proofErr w:type="spellEnd"/>
      <w:r w:rsidRPr="000F7038">
        <w:rPr>
          <w:rFonts w:ascii="Times New Roman" w:hAnsi="Times New Roman" w:cs="Times New Roman"/>
          <w:color w:val="000000" w:themeColor="text1"/>
          <w:sz w:val="24"/>
          <w:szCs w:val="24"/>
        </w:rPr>
        <w:t xml:space="preserve"> and </w:t>
      </w:r>
      <w:proofErr w:type="spellStart"/>
      <w:r w:rsidRPr="000F7038">
        <w:rPr>
          <w:rFonts w:ascii="Times New Roman" w:hAnsi="Times New Roman" w:cs="Times New Roman"/>
          <w:color w:val="000000" w:themeColor="text1"/>
          <w:sz w:val="24"/>
          <w:szCs w:val="24"/>
        </w:rPr>
        <w:t>Verrecchia</w:t>
      </w:r>
      <w:proofErr w:type="spellEnd"/>
      <w:r w:rsidRPr="000F7038">
        <w:rPr>
          <w:rFonts w:ascii="Times New Roman" w:hAnsi="Times New Roman" w:cs="Times New Roman"/>
          <w:color w:val="000000" w:themeColor="text1"/>
          <w:sz w:val="24"/>
          <w:szCs w:val="24"/>
        </w:rPr>
        <w:t xml:space="preserve"> (2000) also indicate the positive relationship</w:t>
      </w:r>
      <w:r w:rsidR="005710F8" w:rsidRPr="000F7038">
        <w:rPr>
          <w:rFonts w:ascii="Times New Roman" w:hAnsi="Times New Roman" w:cs="Times New Roman"/>
          <w:color w:val="000000" w:themeColor="text1"/>
          <w:sz w:val="24"/>
          <w:szCs w:val="24"/>
        </w:rPr>
        <w:t xml:space="preserve"> as shown in the</w:t>
      </w:r>
      <w:r w:rsidRPr="000F7038">
        <w:rPr>
          <w:rFonts w:ascii="Times New Roman" w:hAnsi="Times New Roman" w:cs="Times New Roman"/>
          <w:color w:val="000000" w:themeColor="text1"/>
          <w:sz w:val="24"/>
          <w:szCs w:val="24"/>
        </w:rPr>
        <w:t xml:space="preserve"> sample of German firms that have adopted MS or U.S. </w:t>
      </w:r>
      <w:r w:rsidR="005364B4" w:rsidRPr="000F7038">
        <w:rPr>
          <w:rFonts w:ascii="Times New Roman" w:hAnsi="Times New Roman" w:cs="Times New Roman"/>
          <w:color w:val="000000" w:themeColor="text1"/>
          <w:sz w:val="24"/>
          <w:szCs w:val="24"/>
        </w:rPr>
        <w:t>Generally Accepted Accounting Principles (</w:t>
      </w:r>
      <w:r w:rsidRPr="000F7038">
        <w:rPr>
          <w:rFonts w:ascii="Times New Roman" w:hAnsi="Times New Roman" w:cs="Times New Roman"/>
          <w:color w:val="000000" w:themeColor="text1"/>
          <w:sz w:val="24"/>
          <w:szCs w:val="24"/>
        </w:rPr>
        <w:t>GAAP</w:t>
      </w:r>
      <w:r w:rsidR="005364B4" w:rsidRPr="000F7038">
        <w:rPr>
          <w:rFonts w:ascii="Times New Roman" w:hAnsi="Times New Roman" w:cs="Times New Roman"/>
          <w:color w:val="000000" w:themeColor="text1"/>
          <w:sz w:val="24"/>
          <w:szCs w:val="24"/>
        </w:rPr>
        <w:t>)</w:t>
      </w:r>
      <w:r w:rsidRPr="000F7038">
        <w:rPr>
          <w:rFonts w:ascii="Times New Roman" w:hAnsi="Times New Roman" w:cs="Times New Roman"/>
          <w:color w:val="000000" w:themeColor="text1"/>
          <w:sz w:val="24"/>
          <w:szCs w:val="24"/>
        </w:rPr>
        <w:t xml:space="preserve"> accounting standard which is the international reporting strategy commits firms to substantially increased levels of disclosure but has no immediate tax or dividend implications. Moreover, the disclosure levels in Germany under German GAAP have been characterized as being low. For these reasons, the experimental setting of our study seems particularly suited to document the economic consequences of increased disclosure.</w:t>
      </w:r>
      <w:r w:rsidR="00F96453" w:rsidRPr="000F7038">
        <w:rPr>
          <w:rFonts w:ascii="Times New Roman" w:hAnsi="Times New Roman" w:cs="Times New Roman"/>
          <w:color w:val="000000" w:themeColor="text1"/>
          <w:sz w:val="24"/>
          <w:szCs w:val="24"/>
        </w:rPr>
        <w:t xml:space="preserve"> In this study none of the control variables has any significant relationship with market liquidity.</w:t>
      </w:r>
    </w:p>
    <w:p w14:paraId="1F636467" w14:textId="3E0B4595" w:rsidR="00252482" w:rsidRPr="000F7038" w:rsidRDefault="00F96453" w:rsidP="00037B03">
      <w:pPr>
        <w:spacing w:after="0" w:line="240" w:lineRule="auto"/>
        <w:ind w:left="90" w:firstLine="63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lastRenderedPageBreak/>
        <w:t xml:space="preserve">In this study we used adjusted r-square which result </w:t>
      </w:r>
      <w:r w:rsidR="00252482" w:rsidRPr="000F7038">
        <w:rPr>
          <w:rFonts w:ascii="Times New Roman" w:hAnsi="Times New Roman" w:cs="Times New Roman"/>
          <w:color w:val="000000" w:themeColor="text1"/>
          <w:sz w:val="24"/>
          <w:szCs w:val="24"/>
        </w:rPr>
        <w:t xml:space="preserve">lower value by excluding random control variables in non-adjusted r-square. </w:t>
      </w:r>
      <w:r w:rsidRPr="000F7038">
        <w:rPr>
          <w:rFonts w:ascii="Times New Roman" w:hAnsi="Times New Roman" w:cs="Times New Roman"/>
          <w:color w:val="000000" w:themeColor="text1"/>
          <w:sz w:val="24"/>
          <w:szCs w:val="24"/>
        </w:rPr>
        <w:t xml:space="preserve"> </w:t>
      </w:r>
      <w:r w:rsidR="00252482" w:rsidRPr="000F7038">
        <w:rPr>
          <w:rFonts w:ascii="Times New Roman" w:hAnsi="Times New Roman" w:cs="Times New Roman"/>
          <w:color w:val="000000" w:themeColor="text1"/>
          <w:sz w:val="24"/>
          <w:szCs w:val="24"/>
        </w:rPr>
        <w:t xml:space="preserve">The adjusted r-square in this study is 0.041 or 4.1% which mean the relationship of market liquidity and environmental disclosure and together with all control variables can be explain 4.1%. Other 94.9% factors that may influence the market liquidity was not include in this equation. </w:t>
      </w:r>
      <w:r w:rsidR="005710F8" w:rsidRPr="000F7038">
        <w:rPr>
          <w:rFonts w:ascii="Times New Roman" w:hAnsi="Times New Roman" w:cs="Times New Roman"/>
          <w:color w:val="000000" w:themeColor="text1"/>
          <w:sz w:val="24"/>
          <w:szCs w:val="24"/>
        </w:rPr>
        <w:t>T</w:t>
      </w:r>
      <w:r w:rsidR="00252482" w:rsidRPr="000F7038">
        <w:rPr>
          <w:rFonts w:ascii="Times New Roman" w:hAnsi="Times New Roman" w:cs="Times New Roman"/>
          <w:color w:val="000000" w:themeColor="text1"/>
          <w:sz w:val="24"/>
          <w:szCs w:val="24"/>
        </w:rPr>
        <w:t xml:space="preserve">he </w:t>
      </w:r>
      <w:proofErr w:type="spellStart"/>
      <w:r w:rsidR="00252482" w:rsidRPr="000F7038">
        <w:rPr>
          <w:rFonts w:ascii="Times New Roman" w:hAnsi="Times New Roman" w:cs="Times New Roman"/>
          <w:color w:val="000000" w:themeColor="text1"/>
          <w:sz w:val="24"/>
          <w:szCs w:val="24"/>
        </w:rPr>
        <w:t>Anova</w:t>
      </w:r>
      <w:proofErr w:type="spellEnd"/>
      <w:r w:rsidR="00252482" w:rsidRPr="000F7038">
        <w:rPr>
          <w:rFonts w:ascii="Times New Roman" w:hAnsi="Times New Roman" w:cs="Times New Roman"/>
          <w:color w:val="000000" w:themeColor="text1"/>
          <w:sz w:val="24"/>
          <w:szCs w:val="24"/>
        </w:rPr>
        <w:t xml:space="preserve"> probability statistic show significant value at 1% indicate that this model fit to explain the relationship the market liquidity in this equation.</w:t>
      </w:r>
    </w:p>
    <w:p w14:paraId="106781A3" w14:textId="39417647" w:rsidR="00F96453" w:rsidRPr="000F7038" w:rsidRDefault="00252482" w:rsidP="006E01D2">
      <w:pPr>
        <w:spacing w:after="0" w:line="240" w:lineRule="auto"/>
        <w:ind w:left="9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 </w:t>
      </w:r>
    </w:p>
    <w:p w14:paraId="20D9555A" w14:textId="0F2DE787" w:rsidR="00576D34" w:rsidRPr="000F7038" w:rsidRDefault="006E01D2" w:rsidP="006E01D2">
      <w:pPr>
        <w:pStyle w:val="ListParagraph"/>
        <w:numPr>
          <w:ilvl w:val="0"/>
          <w:numId w:val="1"/>
        </w:numPr>
        <w:spacing w:after="0" w:line="240" w:lineRule="auto"/>
        <w:ind w:left="180" w:hanging="180"/>
        <w:jc w:val="both"/>
        <w:rPr>
          <w:rFonts w:ascii="Times New Roman" w:hAnsi="Times New Roman" w:cs="Times New Roman"/>
          <w:b/>
          <w:bCs/>
          <w:color w:val="000000" w:themeColor="text1"/>
          <w:sz w:val="24"/>
          <w:szCs w:val="24"/>
        </w:rPr>
      </w:pPr>
      <w:r w:rsidRPr="000F7038">
        <w:rPr>
          <w:rFonts w:ascii="Times New Roman" w:hAnsi="Times New Roman" w:cs="Times New Roman"/>
          <w:b/>
          <w:bCs/>
          <w:color w:val="000000" w:themeColor="text1"/>
          <w:sz w:val="24"/>
          <w:szCs w:val="24"/>
        </w:rPr>
        <w:t xml:space="preserve"> </w:t>
      </w:r>
      <w:r w:rsidR="00576D34" w:rsidRPr="000F7038">
        <w:rPr>
          <w:rFonts w:ascii="Times New Roman" w:hAnsi="Times New Roman" w:cs="Times New Roman"/>
          <w:b/>
          <w:bCs/>
          <w:color w:val="000000" w:themeColor="text1"/>
          <w:sz w:val="24"/>
          <w:szCs w:val="24"/>
        </w:rPr>
        <w:t>Conclusion and Implication of the Study</w:t>
      </w:r>
    </w:p>
    <w:p w14:paraId="0FC6EA83" w14:textId="4A9E596E" w:rsidR="00EE2CEE" w:rsidRPr="000F7038" w:rsidRDefault="00EE2CEE" w:rsidP="006E01D2">
      <w:pPr>
        <w:pStyle w:val="ListParagraph"/>
        <w:spacing w:after="0" w:line="240" w:lineRule="auto"/>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The results show there</w:t>
      </w:r>
      <w:r w:rsidR="005710F8" w:rsidRPr="000F7038">
        <w:rPr>
          <w:rFonts w:ascii="Times New Roman" w:hAnsi="Times New Roman" w:cs="Times New Roman"/>
          <w:color w:val="000000" w:themeColor="text1"/>
          <w:sz w:val="24"/>
          <w:szCs w:val="24"/>
        </w:rPr>
        <w:t xml:space="preserve"> is a</w:t>
      </w:r>
      <w:r w:rsidRPr="000F7038">
        <w:rPr>
          <w:rFonts w:ascii="Times New Roman" w:hAnsi="Times New Roman" w:cs="Times New Roman"/>
          <w:color w:val="000000" w:themeColor="text1"/>
          <w:sz w:val="24"/>
          <w:szCs w:val="24"/>
        </w:rPr>
        <w:t xml:space="preserve"> relationship between environmental disclosure and stock market liquidity in term of bid-ask spread. The higher the stock market liquidity </w:t>
      </w:r>
      <w:r w:rsidR="005710F8" w:rsidRPr="000F7038">
        <w:rPr>
          <w:rFonts w:ascii="Times New Roman" w:hAnsi="Times New Roman" w:cs="Times New Roman"/>
          <w:color w:val="000000" w:themeColor="text1"/>
          <w:sz w:val="24"/>
          <w:szCs w:val="24"/>
        </w:rPr>
        <w:t xml:space="preserve">is </w:t>
      </w:r>
      <w:r w:rsidRPr="000F7038">
        <w:rPr>
          <w:rFonts w:ascii="Times New Roman" w:hAnsi="Times New Roman" w:cs="Times New Roman"/>
          <w:color w:val="000000" w:themeColor="text1"/>
          <w:sz w:val="24"/>
          <w:szCs w:val="24"/>
        </w:rPr>
        <w:t xml:space="preserve">due to the reduce of bid-ask spread. Thus, environmental disclosure information </w:t>
      </w:r>
      <w:r w:rsidR="00252482" w:rsidRPr="000F7038">
        <w:rPr>
          <w:rFonts w:ascii="Times New Roman" w:hAnsi="Times New Roman" w:cs="Times New Roman"/>
          <w:color w:val="000000" w:themeColor="text1"/>
          <w:sz w:val="24"/>
          <w:szCs w:val="24"/>
        </w:rPr>
        <w:t>is</w:t>
      </w:r>
      <w:r w:rsidRPr="000F7038">
        <w:rPr>
          <w:rFonts w:ascii="Times New Roman" w:hAnsi="Times New Roman" w:cs="Times New Roman"/>
          <w:color w:val="000000" w:themeColor="text1"/>
          <w:sz w:val="24"/>
          <w:szCs w:val="24"/>
        </w:rPr>
        <w:t xml:space="preserve"> very important element to increase the company’s stock market liquidity which supporting by the signal</w:t>
      </w:r>
      <w:r w:rsidR="005710F8" w:rsidRPr="000F7038">
        <w:rPr>
          <w:rFonts w:ascii="Times New Roman" w:hAnsi="Times New Roman" w:cs="Times New Roman"/>
          <w:color w:val="000000" w:themeColor="text1"/>
          <w:sz w:val="24"/>
          <w:szCs w:val="24"/>
        </w:rPr>
        <w:t>l</w:t>
      </w:r>
      <w:r w:rsidRPr="000F7038">
        <w:rPr>
          <w:rFonts w:ascii="Times New Roman" w:hAnsi="Times New Roman" w:cs="Times New Roman"/>
          <w:color w:val="000000" w:themeColor="text1"/>
          <w:sz w:val="24"/>
          <w:szCs w:val="24"/>
        </w:rPr>
        <w:t xml:space="preserve">ing theory. </w:t>
      </w:r>
      <w:r w:rsidR="00EC2A9C" w:rsidRPr="000F7038">
        <w:rPr>
          <w:rFonts w:ascii="Times New Roman" w:hAnsi="Times New Roman" w:cs="Times New Roman"/>
          <w:color w:val="000000" w:themeColor="text1"/>
          <w:sz w:val="24"/>
          <w:szCs w:val="24"/>
        </w:rPr>
        <w:t xml:space="preserve">Increase environmental disclosure enhance transparency of a firm and thus increase </w:t>
      </w:r>
      <w:r w:rsidR="00FB60DE" w:rsidRPr="000F7038">
        <w:rPr>
          <w:rFonts w:ascii="Times New Roman" w:hAnsi="Times New Roman" w:cs="Times New Roman"/>
          <w:color w:val="000000" w:themeColor="text1"/>
          <w:sz w:val="24"/>
          <w:szCs w:val="24"/>
        </w:rPr>
        <w:t>investors’</w:t>
      </w:r>
      <w:r w:rsidR="00EC2A9C" w:rsidRPr="000F7038">
        <w:rPr>
          <w:rFonts w:ascii="Times New Roman" w:hAnsi="Times New Roman" w:cs="Times New Roman"/>
          <w:color w:val="000000" w:themeColor="text1"/>
          <w:sz w:val="24"/>
          <w:szCs w:val="24"/>
        </w:rPr>
        <w:t xml:space="preserve"> confidence to invest in the firm. For the control variables, all </w:t>
      </w:r>
      <w:r w:rsidR="005710F8" w:rsidRPr="000F7038">
        <w:rPr>
          <w:rFonts w:ascii="Times New Roman" w:hAnsi="Times New Roman" w:cs="Times New Roman"/>
          <w:color w:val="000000" w:themeColor="text1"/>
          <w:sz w:val="24"/>
          <w:szCs w:val="24"/>
        </w:rPr>
        <w:t xml:space="preserve">the </w:t>
      </w:r>
      <w:r w:rsidR="00EC2A9C" w:rsidRPr="000F7038">
        <w:rPr>
          <w:rFonts w:ascii="Times New Roman" w:hAnsi="Times New Roman" w:cs="Times New Roman"/>
          <w:color w:val="000000" w:themeColor="text1"/>
          <w:sz w:val="24"/>
          <w:szCs w:val="24"/>
        </w:rPr>
        <w:t>variables such as leverage, size, and market to book ratio show</w:t>
      </w:r>
      <w:r w:rsidR="005710F8" w:rsidRPr="000F7038">
        <w:rPr>
          <w:rFonts w:ascii="Times New Roman" w:hAnsi="Times New Roman" w:cs="Times New Roman"/>
          <w:color w:val="000000" w:themeColor="text1"/>
          <w:sz w:val="24"/>
          <w:szCs w:val="24"/>
        </w:rPr>
        <w:t xml:space="preserve"> no</w:t>
      </w:r>
      <w:r w:rsidR="00EC2A9C" w:rsidRPr="000F7038">
        <w:rPr>
          <w:rFonts w:ascii="Times New Roman" w:hAnsi="Times New Roman" w:cs="Times New Roman"/>
          <w:color w:val="000000" w:themeColor="text1"/>
          <w:sz w:val="24"/>
          <w:szCs w:val="24"/>
        </w:rPr>
        <w:t xml:space="preserve"> significant relationship with stock market liquidity in term of bid-ask spread.</w:t>
      </w:r>
    </w:p>
    <w:p w14:paraId="406E6C40" w14:textId="0E2BBD49" w:rsidR="00EE2CEE" w:rsidRPr="000F7038" w:rsidRDefault="00EC2A9C" w:rsidP="006E01D2">
      <w:pPr>
        <w:pStyle w:val="ListParagraph"/>
        <w:tabs>
          <w:tab w:val="left" w:pos="360"/>
        </w:tabs>
        <w:spacing w:after="0" w:line="240" w:lineRule="auto"/>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ab/>
      </w:r>
      <w:r w:rsidR="00EE2CEE" w:rsidRPr="000F7038">
        <w:rPr>
          <w:rFonts w:ascii="Times New Roman" w:hAnsi="Times New Roman" w:cs="Times New Roman"/>
          <w:color w:val="000000" w:themeColor="text1"/>
          <w:sz w:val="24"/>
          <w:szCs w:val="24"/>
        </w:rPr>
        <w:t xml:space="preserve">The research </w:t>
      </w:r>
      <w:r w:rsidR="008748BF" w:rsidRPr="000F7038">
        <w:rPr>
          <w:rFonts w:ascii="Times New Roman" w:hAnsi="Times New Roman" w:cs="Times New Roman"/>
          <w:color w:val="000000" w:themeColor="text1"/>
          <w:sz w:val="24"/>
          <w:szCs w:val="24"/>
        </w:rPr>
        <w:t>enables</w:t>
      </w:r>
      <w:r w:rsidR="00EE2CEE" w:rsidRPr="000F7038">
        <w:rPr>
          <w:rFonts w:ascii="Times New Roman" w:hAnsi="Times New Roman" w:cs="Times New Roman"/>
          <w:color w:val="000000" w:themeColor="text1"/>
          <w:sz w:val="24"/>
          <w:szCs w:val="24"/>
        </w:rPr>
        <w:t xml:space="preserve"> investor</w:t>
      </w:r>
      <w:r w:rsidR="005710F8" w:rsidRPr="000F7038">
        <w:rPr>
          <w:rFonts w:ascii="Times New Roman" w:hAnsi="Times New Roman" w:cs="Times New Roman"/>
          <w:color w:val="000000" w:themeColor="text1"/>
          <w:sz w:val="24"/>
          <w:szCs w:val="24"/>
        </w:rPr>
        <w:t>s</w:t>
      </w:r>
      <w:r w:rsidR="00EE2CEE" w:rsidRPr="000F7038">
        <w:rPr>
          <w:rFonts w:ascii="Times New Roman" w:hAnsi="Times New Roman" w:cs="Times New Roman"/>
          <w:color w:val="000000" w:themeColor="text1"/>
          <w:sz w:val="24"/>
          <w:szCs w:val="24"/>
        </w:rPr>
        <w:t xml:space="preserve"> </w:t>
      </w:r>
      <w:r w:rsidR="005710F8" w:rsidRPr="000F7038">
        <w:rPr>
          <w:rFonts w:ascii="Times New Roman" w:hAnsi="Times New Roman" w:cs="Times New Roman"/>
          <w:color w:val="000000" w:themeColor="text1"/>
          <w:sz w:val="24"/>
          <w:szCs w:val="24"/>
        </w:rPr>
        <w:t xml:space="preserve">to </w:t>
      </w:r>
      <w:r w:rsidR="00EE2CEE" w:rsidRPr="000F7038">
        <w:rPr>
          <w:rFonts w:ascii="Times New Roman" w:hAnsi="Times New Roman" w:cs="Times New Roman"/>
          <w:color w:val="000000" w:themeColor="text1"/>
          <w:sz w:val="24"/>
          <w:szCs w:val="24"/>
        </w:rPr>
        <w:t>identify risk and obtain opportunity. From this research, investor</w:t>
      </w:r>
      <w:r w:rsidR="005710F8" w:rsidRPr="000F7038">
        <w:rPr>
          <w:rFonts w:ascii="Times New Roman" w:hAnsi="Times New Roman" w:cs="Times New Roman"/>
          <w:color w:val="000000" w:themeColor="text1"/>
          <w:sz w:val="24"/>
          <w:szCs w:val="24"/>
        </w:rPr>
        <w:t>s</w:t>
      </w:r>
      <w:r w:rsidR="00EE2CEE" w:rsidRPr="000F7038">
        <w:rPr>
          <w:rFonts w:ascii="Times New Roman" w:hAnsi="Times New Roman" w:cs="Times New Roman"/>
          <w:color w:val="000000" w:themeColor="text1"/>
          <w:sz w:val="24"/>
          <w:szCs w:val="24"/>
        </w:rPr>
        <w:t xml:space="preserve"> will have a direction to making investing decisions. As the finding of the research was showed that disclosure of environmental information was positive significantly related to stock market </w:t>
      </w:r>
      <w:r w:rsidR="00A178D4" w:rsidRPr="000F7038">
        <w:rPr>
          <w:rFonts w:ascii="Times New Roman" w:hAnsi="Times New Roman" w:cs="Times New Roman"/>
          <w:color w:val="000000" w:themeColor="text1"/>
          <w:sz w:val="24"/>
          <w:szCs w:val="24"/>
        </w:rPr>
        <w:t>liquidity</w:t>
      </w:r>
      <w:r w:rsidR="00EE2CEE" w:rsidRPr="000F7038">
        <w:rPr>
          <w:rFonts w:ascii="Times New Roman" w:hAnsi="Times New Roman" w:cs="Times New Roman"/>
          <w:color w:val="000000" w:themeColor="text1"/>
          <w:sz w:val="24"/>
          <w:szCs w:val="24"/>
        </w:rPr>
        <w:t xml:space="preserve"> which is measured by bid-ask spread. This study can contribute</w:t>
      </w:r>
      <w:r w:rsidR="005710F8" w:rsidRPr="000F7038">
        <w:rPr>
          <w:rFonts w:ascii="Times New Roman" w:hAnsi="Times New Roman" w:cs="Times New Roman"/>
          <w:color w:val="000000" w:themeColor="text1"/>
          <w:sz w:val="24"/>
          <w:szCs w:val="24"/>
        </w:rPr>
        <w:t xml:space="preserve"> to</w:t>
      </w:r>
      <w:r w:rsidR="00EE2CEE" w:rsidRPr="000F7038">
        <w:rPr>
          <w:rFonts w:ascii="Times New Roman" w:hAnsi="Times New Roman" w:cs="Times New Roman"/>
          <w:color w:val="000000" w:themeColor="text1"/>
          <w:sz w:val="24"/>
          <w:szCs w:val="24"/>
        </w:rPr>
        <w:t xml:space="preserve"> a better understanding for investors on how disclosure of environmental information able raise the liquidity of stock market. </w:t>
      </w:r>
    </w:p>
    <w:p w14:paraId="1FDD2D94" w14:textId="61F5AEA7" w:rsidR="00EC2A9C" w:rsidRPr="000F7038" w:rsidRDefault="00EE2CEE" w:rsidP="006E01D2">
      <w:pPr>
        <w:pStyle w:val="ListParagraph"/>
        <w:tabs>
          <w:tab w:val="left" w:pos="360"/>
        </w:tabs>
        <w:spacing w:after="0" w:line="240" w:lineRule="auto"/>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 </w:t>
      </w:r>
      <w:r w:rsidR="00EC2A9C" w:rsidRPr="000F7038">
        <w:rPr>
          <w:rFonts w:ascii="Times New Roman" w:hAnsi="Times New Roman" w:cs="Times New Roman"/>
          <w:color w:val="000000" w:themeColor="text1"/>
          <w:sz w:val="24"/>
          <w:szCs w:val="24"/>
        </w:rPr>
        <w:tab/>
      </w:r>
      <w:r w:rsidRPr="000F7038">
        <w:rPr>
          <w:rFonts w:ascii="Times New Roman" w:hAnsi="Times New Roman" w:cs="Times New Roman"/>
          <w:color w:val="000000" w:themeColor="text1"/>
          <w:sz w:val="24"/>
          <w:szCs w:val="24"/>
        </w:rPr>
        <w:t xml:space="preserve">Next, the research </w:t>
      </w:r>
      <w:r w:rsidR="00A178D4" w:rsidRPr="000F7038">
        <w:rPr>
          <w:rFonts w:ascii="Times New Roman" w:hAnsi="Times New Roman" w:cs="Times New Roman"/>
          <w:color w:val="000000" w:themeColor="text1"/>
          <w:sz w:val="24"/>
          <w:szCs w:val="24"/>
        </w:rPr>
        <w:t>tends</w:t>
      </w:r>
      <w:r w:rsidRPr="000F7038">
        <w:rPr>
          <w:rFonts w:ascii="Times New Roman" w:hAnsi="Times New Roman" w:cs="Times New Roman"/>
          <w:color w:val="000000" w:themeColor="text1"/>
          <w:sz w:val="24"/>
          <w:szCs w:val="24"/>
        </w:rPr>
        <w:t xml:space="preserve"> to help future researcher and educators to have better understand</w:t>
      </w:r>
      <w:r w:rsidR="005710F8" w:rsidRPr="000F7038">
        <w:rPr>
          <w:rFonts w:ascii="Times New Roman" w:hAnsi="Times New Roman" w:cs="Times New Roman"/>
          <w:color w:val="000000" w:themeColor="text1"/>
          <w:sz w:val="24"/>
          <w:szCs w:val="24"/>
        </w:rPr>
        <w:t>ing</w:t>
      </w:r>
      <w:r w:rsidRPr="000F7038">
        <w:rPr>
          <w:rFonts w:ascii="Times New Roman" w:hAnsi="Times New Roman" w:cs="Times New Roman"/>
          <w:color w:val="000000" w:themeColor="text1"/>
          <w:sz w:val="24"/>
          <w:szCs w:val="24"/>
        </w:rPr>
        <w:t xml:space="preserve"> on the factors that determine the stock market liquidity and provide with substantial information </w:t>
      </w:r>
      <w:r w:rsidR="005710F8" w:rsidRPr="000F7038">
        <w:rPr>
          <w:rFonts w:ascii="Times New Roman" w:hAnsi="Times New Roman" w:cs="Times New Roman"/>
          <w:color w:val="000000" w:themeColor="text1"/>
          <w:sz w:val="24"/>
          <w:szCs w:val="24"/>
        </w:rPr>
        <w:t>on</w:t>
      </w:r>
      <w:r w:rsidRPr="000F7038">
        <w:rPr>
          <w:rFonts w:ascii="Times New Roman" w:hAnsi="Times New Roman" w:cs="Times New Roman"/>
          <w:color w:val="000000" w:themeColor="text1"/>
          <w:sz w:val="24"/>
          <w:szCs w:val="24"/>
        </w:rPr>
        <w:t xml:space="preserve"> issues in Malaysia. So, this will increase the </w:t>
      </w:r>
      <w:r w:rsidR="00A178D4" w:rsidRPr="000F7038">
        <w:rPr>
          <w:rFonts w:ascii="Times New Roman" w:hAnsi="Times New Roman" w:cs="Times New Roman"/>
          <w:color w:val="000000" w:themeColor="text1"/>
          <w:sz w:val="24"/>
          <w:szCs w:val="24"/>
        </w:rPr>
        <w:t>awareness</w:t>
      </w:r>
      <w:r w:rsidRPr="000F7038">
        <w:rPr>
          <w:rFonts w:ascii="Times New Roman" w:hAnsi="Times New Roman" w:cs="Times New Roman"/>
          <w:color w:val="000000" w:themeColor="text1"/>
          <w:sz w:val="24"/>
          <w:szCs w:val="24"/>
        </w:rPr>
        <w:t xml:space="preserve"> to the </w:t>
      </w:r>
      <w:r w:rsidR="005710F8" w:rsidRPr="000F7038">
        <w:rPr>
          <w:rFonts w:ascii="Times New Roman" w:hAnsi="Times New Roman" w:cs="Times New Roman"/>
          <w:color w:val="000000" w:themeColor="text1"/>
          <w:sz w:val="24"/>
          <w:szCs w:val="24"/>
        </w:rPr>
        <w:t>researchers</w:t>
      </w:r>
      <w:r w:rsidRPr="000F7038">
        <w:rPr>
          <w:rFonts w:ascii="Times New Roman" w:hAnsi="Times New Roman" w:cs="Times New Roman"/>
          <w:color w:val="000000" w:themeColor="text1"/>
          <w:sz w:val="24"/>
          <w:szCs w:val="24"/>
        </w:rPr>
        <w:t xml:space="preserve"> and convey the important of having environmental </w:t>
      </w:r>
      <w:r w:rsidR="00A178D4" w:rsidRPr="000F7038">
        <w:rPr>
          <w:rFonts w:ascii="Times New Roman" w:hAnsi="Times New Roman" w:cs="Times New Roman"/>
          <w:color w:val="000000" w:themeColor="text1"/>
          <w:sz w:val="24"/>
          <w:szCs w:val="24"/>
        </w:rPr>
        <w:t>behaviour</w:t>
      </w:r>
      <w:r w:rsidRPr="000F7038">
        <w:rPr>
          <w:rFonts w:ascii="Times New Roman" w:hAnsi="Times New Roman" w:cs="Times New Roman"/>
          <w:color w:val="000000" w:themeColor="text1"/>
          <w:sz w:val="24"/>
          <w:szCs w:val="24"/>
        </w:rPr>
        <w:t xml:space="preserve">. This will directly </w:t>
      </w:r>
      <w:r w:rsidR="00A178D4" w:rsidRPr="000F7038">
        <w:rPr>
          <w:rFonts w:ascii="Times New Roman" w:hAnsi="Times New Roman" w:cs="Times New Roman"/>
          <w:color w:val="000000" w:themeColor="text1"/>
          <w:sz w:val="24"/>
          <w:szCs w:val="24"/>
        </w:rPr>
        <w:t>be affected</w:t>
      </w:r>
      <w:r w:rsidRPr="000F7038">
        <w:rPr>
          <w:rFonts w:ascii="Times New Roman" w:hAnsi="Times New Roman" w:cs="Times New Roman"/>
          <w:color w:val="000000" w:themeColor="text1"/>
          <w:sz w:val="24"/>
          <w:szCs w:val="24"/>
        </w:rPr>
        <w:t xml:space="preserve"> public to having </w:t>
      </w:r>
      <w:r w:rsidR="00A178D4" w:rsidRPr="000F7038">
        <w:rPr>
          <w:rFonts w:ascii="Times New Roman" w:hAnsi="Times New Roman" w:cs="Times New Roman"/>
          <w:color w:val="000000" w:themeColor="text1"/>
          <w:sz w:val="24"/>
          <w:szCs w:val="24"/>
        </w:rPr>
        <w:t>behaviour</w:t>
      </w:r>
      <w:r w:rsidRPr="000F7038">
        <w:rPr>
          <w:rFonts w:ascii="Times New Roman" w:hAnsi="Times New Roman" w:cs="Times New Roman"/>
          <w:color w:val="000000" w:themeColor="text1"/>
          <w:sz w:val="24"/>
          <w:szCs w:val="24"/>
        </w:rPr>
        <w:t xml:space="preserve"> on environmental and more prefer </w:t>
      </w:r>
      <w:r w:rsidR="00A178D4" w:rsidRPr="000F7038">
        <w:rPr>
          <w:rFonts w:ascii="Times New Roman" w:hAnsi="Times New Roman" w:cs="Times New Roman"/>
          <w:color w:val="000000" w:themeColor="text1"/>
          <w:sz w:val="24"/>
          <w:szCs w:val="24"/>
        </w:rPr>
        <w:t>environmentally</w:t>
      </w:r>
      <w:r w:rsidRPr="000F7038">
        <w:rPr>
          <w:rFonts w:ascii="Times New Roman" w:hAnsi="Times New Roman" w:cs="Times New Roman"/>
          <w:color w:val="000000" w:themeColor="text1"/>
          <w:sz w:val="24"/>
          <w:szCs w:val="24"/>
        </w:rPr>
        <w:t xml:space="preserve"> friendly product. </w:t>
      </w:r>
      <w:r w:rsidR="005710F8" w:rsidRPr="000F7038">
        <w:rPr>
          <w:rFonts w:ascii="Times New Roman" w:hAnsi="Times New Roman" w:cs="Times New Roman"/>
          <w:color w:val="000000" w:themeColor="text1"/>
          <w:sz w:val="24"/>
          <w:szCs w:val="24"/>
        </w:rPr>
        <w:t>Thus</w:t>
      </w:r>
      <w:r w:rsidRPr="000F7038">
        <w:rPr>
          <w:rFonts w:ascii="Times New Roman" w:hAnsi="Times New Roman" w:cs="Times New Roman"/>
          <w:color w:val="000000" w:themeColor="text1"/>
          <w:sz w:val="24"/>
          <w:szCs w:val="24"/>
        </w:rPr>
        <w:t xml:space="preserve">, the investor will prefer to invest the company that disclosure environmental information according the </w:t>
      </w:r>
      <w:r w:rsidR="00A178D4" w:rsidRPr="000F7038">
        <w:rPr>
          <w:rFonts w:ascii="Times New Roman" w:hAnsi="Times New Roman" w:cs="Times New Roman"/>
          <w:color w:val="000000" w:themeColor="text1"/>
          <w:sz w:val="24"/>
          <w:szCs w:val="24"/>
        </w:rPr>
        <w:t>behaviour</w:t>
      </w:r>
      <w:r w:rsidRPr="000F7038">
        <w:rPr>
          <w:rFonts w:ascii="Times New Roman" w:hAnsi="Times New Roman" w:cs="Times New Roman"/>
          <w:color w:val="000000" w:themeColor="text1"/>
          <w:sz w:val="24"/>
          <w:szCs w:val="24"/>
        </w:rPr>
        <w:t xml:space="preserve"> of public.</w:t>
      </w:r>
    </w:p>
    <w:p w14:paraId="3E034A86" w14:textId="77777777" w:rsidR="00EE2CEE" w:rsidRPr="000F7038" w:rsidRDefault="00EE2CEE" w:rsidP="006E01D2">
      <w:pPr>
        <w:pStyle w:val="ListParagraph"/>
        <w:spacing w:after="0" w:line="240" w:lineRule="auto"/>
        <w:ind w:left="180" w:hanging="180"/>
        <w:rPr>
          <w:rFonts w:ascii="Times New Roman" w:hAnsi="Times New Roman" w:cs="Times New Roman"/>
          <w:color w:val="000000" w:themeColor="text1"/>
          <w:sz w:val="24"/>
          <w:szCs w:val="24"/>
        </w:rPr>
      </w:pPr>
    </w:p>
    <w:p w14:paraId="74A95182" w14:textId="1DABDFB0" w:rsidR="00576D34" w:rsidRPr="000F7038" w:rsidRDefault="00576D34" w:rsidP="006E01D2">
      <w:pPr>
        <w:pStyle w:val="ListParagraph"/>
        <w:numPr>
          <w:ilvl w:val="0"/>
          <w:numId w:val="1"/>
        </w:numPr>
        <w:spacing w:after="0" w:line="240" w:lineRule="auto"/>
        <w:ind w:left="180" w:hanging="180"/>
        <w:jc w:val="both"/>
        <w:rPr>
          <w:rFonts w:ascii="Times New Roman" w:hAnsi="Times New Roman" w:cs="Times New Roman"/>
          <w:b/>
          <w:bCs/>
          <w:color w:val="000000" w:themeColor="text1"/>
          <w:sz w:val="24"/>
          <w:szCs w:val="24"/>
        </w:rPr>
      </w:pPr>
      <w:r w:rsidRPr="000F7038">
        <w:rPr>
          <w:rFonts w:ascii="Times New Roman" w:hAnsi="Times New Roman" w:cs="Times New Roman"/>
          <w:b/>
          <w:bCs/>
          <w:color w:val="000000" w:themeColor="text1"/>
          <w:sz w:val="24"/>
          <w:szCs w:val="24"/>
        </w:rPr>
        <w:t>Limitation of Study and Recommendation of Future Research</w:t>
      </w:r>
    </w:p>
    <w:p w14:paraId="1B38CA31" w14:textId="702C6B37" w:rsidR="00EC2A9C" w:rsidRPr="000F7038" w:rsidRDefault="0040680E" w:rsidP="00037B03">
      <w:pPr>
        <w:pStyle w:val="ListParagraph"/>
        <w:spacing w:after="0" w:line="240" w:lineRule="auto"/>
        <w:ind w:left="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This study contains few limitations. Firstly, the </w:t>
      </w:r>
      <w:r w:rsidR="00777017" w:rsidRPr="000F7038">
        <w:rPr>
          <w:rFonts w:ascii="Times New Roman" w:hAnsi="Times New Roman" w:cs="Times New Roman"/>
          <w:color w:val="000000" w:themeColor="text1"/>
          <w:sz w:val="24"/>
          <w:szCs w:val="24"/>
        </w:rPr>
        <w:t>e</w:t>
      </w:r>
      <w:r w:rsidRPr="000F7038">
        <w:rPr>
          <w:rFonts w:ascii="Times New Roman" w:hAnsi="Times New Roman" w:cs="Times New Roman"/>
          <w:color w:val="000000" w:themeColor="text1"/>
          <w:sz w:val="24"/>
          <w:szCs w:val="24"/>
        </w:rPr>
        <w:t xml:space="preserve">nvironment </w:t>
      </w:r>
      <w:r w:rsidR="00777017" w:rsidRPr="000F7038">
        <w:rPr>
          <w:rFonts w:ascii="Times New Roman" w:hAnsi="Times New Roman" w:cs="Times New Roman"/>
          <w:color w:val="000000" w:themeColor="text1"/>
          <w:sz w:val="24"/>
          <w:szCs w:val="24"/>
        </w:rPr>
        <w:t>d</w:t>
      </w:r>
      <w:r w:rsidRPr="000F7038">
        <w:rPr>
          <w:rFonts w:ascii="Times New Roman" w:hAnsi="Times New Roman" w:cs="Times New Roman"/>
          <w:color w:val="000000" w:themeColor="text1"/>
          <w:sz w:val="24"/>
          <w:szCs w:val="24"/>
        </w:rPr>
        <w:t xml:space="preserve">isclosure in this research mainly focuses on </w:t>
      </w:r>
      <w:r w:rsidR="00521C8D" w:rsidRPr="000F7038">
        <w:rPr>
          <w:rFonts w:ascii="Times New Roman" w:hAnsi="Times New Roman" w:cs="Times New Roman"/>
          <w:color w:val="000000" w:themeColor="text1"/>
          <w:sz w:val="24"/>
          <w:szCs w:val="24"/>
        </w:rPr>
        <w:t xml:space="preserve">Malaysia. Thus, the research unable to do the comparisons. </w:t>
      </w:r>
      <w:r w:rsidR="005710F8" w:rsidRPr="000F7038">
        <w:rPr>
          <w:rFonts w:ascii="Times New Roman" w:hAnsi="Times New Roman" w:cs="Times New Roman"/>
          <w:color w:val="000000" w:themeColor="text1"/>
          <w:sz w:val="24"/>
          <w:szCs w:val="24"/>
        </w:rPr>
        <w:t>Therefore</w:t>
      </w:r>
      <w:r w:rsidR="00521C8D" w:rsidRPr="000F7038">
        <w:rPr>
          <w:rFonts w:ascii="Times New Roman" w:hAnsi="Times New Roman" w:cs="Times New Roman"/>
          <w:color w:val="000000" w:themeColor="text1"/>
          <w:sz w:val="24"/>
          <w:szCs w:val="24"/>
        </w:rPr>
        <w:t>, it is recommend</w:t>
      </w:r>
      <w:r w:rsidR="005710F8" w:rsidRPr="000F7038">
        <w:rPr>
          <w:rFonts w:ascii="Times New Roman" w:hAnsi="Times New Roman" w:cs="Times New Roman"/>
          <w:color w:val="000000" w:themeColor="text1"/>
          <w:sz w:val="24"/>
          <w:szCs w:val="24"/>
        </w:rPr>
        <w:t>ed</w:t>
      </w:r>
      <w:r w:rsidR="00521C8D" w:rsidRPr="000F7038">
        <w:rPr>
          <w:rFonts w:ascii="Times New Roman" w:hAnsi="Times New Roman" w:cs="Times New Roman"/>
          <w:color w:val="000000" w:themeColor="text1"/>
          <w:sz w:val="24"/>
          <w:szCs w:val="24"/>
        </w:rPr>
        <w:t xml:space="preserve"> that future research should include others emerging countries such as Thailand, Korea, Poland and China. This is because different countries might have different results for the relationship</w:t>
      </w:r>
      <w:r w:rsidR="00A178D4" w:rsidRPr="000F7038">
        <w:rPr>
          <w:rFonts w:ascii="Times New Roman" w:hAnsi="Times New Roman" w:cs="Times New Roman"/>
          <w:color w:val="000000" w:themeColor="text1"/>
          <w:sz w:val="24"/>
          <w:szCs w:val="24"/>
        </w:rPr>
        <w:t xml:space="preserve">. </w:t>
      </w:r>
    </w:p>
    <w:p w14:paraId="577C6508" w14:textId="1A47F441" w:rsidR="00EC2A9C" w:rsidRPr="000F7038" w:rsidRDefault="00A178D4" w:rsidP="006E01D2">
      <w:pPr>
        <w:pStyle w:val="ListParagraph"/>
        <w:spacing w:after="0" w:line="240" w:lineRule="auto"/>
        <w:ind w:left="0" w:firstLine="72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Next, the limitation of the ways collecting environmental disclosure information</w:t>
      </w:r>
      <w:r w:rsidR="00EC2A9C" w:rsidRPr="000F7038">
        <w:rPr>
          <w:rFonts w:ascii="Times New Roman" w:hAnsi="Times New Roman" w:cs="Times New Roman"/>
          <w:color w:val="000000" w:themeColor="text1"/>
          <w:sz w:val="24"/>
          <w:szCs w:val="24"/>
        </w:rPr>
        <w:t xml:space="preserve"> was b</w:t>
      </w:r>
      <w:r w:rsidRPr="000F7038">
        <w:rPr>
          <w:rFonts w:ascii="Times New Roman" w:hAnsi="Times New Roman" w:cs="Times New Roman"/>
          <w:color w:val="000000" w:themeColor="text1"/>
          <w:sz w:val="24"/>
          <w:szCs w:val="24"/>
        </w:rPr>
        <w:t>ased on words count for collecting the words that relate the environmental behaviour by the companies. The words that used includes “energ</w:t>
      </w:r>
      <w:r w:rsidR="00777017" w:rsidRPr="000F7038">
        <w:rPr>
          <w:rFonts w:ascii="Times New Roman" w:hAnsi="Times New Roman" w:cs="Times New Roman"/>
          <w:color w:val="000000" w:themeColor="text1"/>
          <w:sz w:val="24"/>
          <w:szCs w:val="24"/>
        </w:rPr>
        <w:t>y</w:t>
      </w:r>
      <w:r w:rsidRPr="000F7038">
        <w:rPr>
          <w:rFonts w:ascii="Times New Roman" w:hAnsi="Times New Roman" w:cs="Times New Roman"/>
          <w:color w:val="000000" w:themeColor="text1"/>
          <w:sz w:val="24"/>
          <w:szCs w:val="24"/>
        </w:rPr>
        <w:t>”, “</w:t>
      </w:r>
      <w:r w:rsidR="00777017" w:rsidRPr="000F7038">
        <w:rPr>
          <w:rFonts w:ascii="Times New Roman" w:hAnsi="Times New Roman" w:cs="Times New Roman"/>
          <w:color w:val="000000" w:themeColor="text1"/>
          <w:sz w:val="24"/>
          <w:szCs w:val="24"/>
        </w:rPr>
        <w:t>electricity</w:t>
      </w:r>
      <w:r w:rsidRPr="000F7038">
        <w:rPr>
          <w:rFonts w:ascii="Times New Roman" w:hAnsi="Times New Roman" w:cs="Times New Roman"/>
          <w:color w:val="000000" w:themeColor="text1"/>
          <w:sz w:val="24"/>
          <w:szCs w:val="24"/>
        </w:rPr>
        <w:t>”, “water”, “</w:t>
      </w:r>
      <w:r w:rsidR="00777017" w:rsidRPr="000F7038">
        <w:rPr>
          <w:rFonts w:ascii="Times New Roman" w:hAnsi="Times New Roman" w:cs="Times New Roman"/>
          <w:color w:val="000000" w:themeColor="text1"/>
          <w:sz w:val="24"/>
          <w:szCs w:val="24"/>
        </w:rPr>
        <w:t>biodiversity</w:t>
      </w:r>
      <w:r w:rsidRPr="000F7038">
        <w:rPr>
          <w:rFonts w:ascii="Times New Roman" w:hAnsi="Times New Roman" w:cs="Times New Roman"/>
          <w:color w:val="000000" w:themeColor="text1"/>
          <w:sz w:val="24"/>
          <w:szCs w:val="24"/>
        </w:rPr>
        <w:t>”, “emission”, “effluent”, “waste”, “</w:t>
      </w:r>
      <w:r w:rsidR="00777017" w:rsidRPr="000F7038">
        <w:rPr>
          <w:rFonts w:ascii="Times New Roman" w:hAnsi="Times New Roman" w:cs="Times New Roman"/>
          <w:color w:val="000000" w:themeColor="text1"/>
          <w:sz w:val="24"/>
          <w:szCs w:val="24"/>
        </w:rPr>
        <w:t>recycle</w:t>
      </w:r>
      <w:r w:rsidRPr="000F7038">
        <w:rPr>
          <w:rFonts w:ascii="Times New Roman" w:hAnsi="Times New Roman" w:cs="Times New Roman"/>
          <w:color w:val="000000" w:themeColor="text1"/>
          <w:sz w:val="24"/>
          <w:szCs w:val="24"/>
        </w:rPr>
        <w:t>”, “reus</w:t>
      </w:r>
      <w:r w:rsidR="00777017" w:rsidRPr="000F7038">
        <w:rPr>
          <w:rFonts w:ascii="Times New Roman" w:hAnsi="Times New Roman" w:cs="Times New Roman"/>
          <w:color w:val="000000" w:themeColor="text1"/>
          <w:sz w:val="24"/>
          <w:szCs w:val="24"/>
        </w:rPr>
        <w:t>e</w:t>
      </w:r>
      <w:r w:rsidRPr="000F7038">
        <w:rPr>
          <w:rFonts w:ascii="Times New Roman" w:hAnsi="Times New Roman" w:cs="Times New Roman"/>
          <w:color w:val="000000" w:themeColor="text1"/>
          <w:sz w:val="24"/>
          <w:szCs w:val="24"/>
        </w:rPr>
        <w:t>”, “</w:t>
      </w:r>
      <w:r w:rsidR="00EE3F5C">
        <w:rPr>
          <w:rFonts w:ascii="Times New Roman" w:hAnsi="Times New Roman" w:cs="Times New Roman"/>
          <w:color w:val="000000" w:themeColor="text1"/>
          <w:sz w:val="24"/>
          <w:szCs w:val="24"/>
        </w:rPr>
        <w:t>s</w:t>
      </w:r>
      <w:r w:rsidRPr="000F7038">
        <w:rPr>
          <w:rFonts w:ascii="Times New Roman" w:hAnsi="Times New Roman" w:cs="Times New Roman"/>
          <w:color w:val="000000" w:themeColor="text1"/>
          <w:sz w:val="24"/>
          <w:szCs w:val="24"/>
        </w:rPr>
        <w:t>pill”, “environmental” and “</w:t>
      </w:r>
      <w:r w:rsidR="00EE3F5C" w:rsidRPr="00EE3F5C">
        <w:rPr>
          <w:rFonts w:ascii="Times New Roman" w:hAnsi="Times New Roman" w:cs="Times New Roman"/>
          <w:color w:val="000000" w:themeColor="text1"/>
          <w:sz w:val="24"/>
          <w:szCs w:val="24"/>
        </w:rPr>
        <w:t>environmental management system</w:t>
      </w:r>
      <w:r w:rsidRPr="000F7038">
        <w:rPr>
          <w:rFonts w:ascii="Times New Roman" w:hAnsi="Times New Roman" w:cs="Times New Roman"/>
          <w:color w:val="000000" w:themeColor="text1"/>
          <w:sz w:val="24"/>
          <w:szCs w:val="24"/>
        </w:rPr>
        <w:t xml:space="preserve">” which only have fix words to investigate the whether the companies have doing environmental. </w:t>
      </w:r>
      <w:r w:rsidR="005710F8" w:rsidRPr="000F7038">
        <w:rPr>
          <w:rFonts w:ascii="Times New Roman" w:hAnsi="Times New Roman" w:cs="Times New Roman"/>
          <w:color w:val="000000" w:themeColor="text1"/>
          <w:sz w:val="24"/>
          <w:szCs w:val="24"/>
        </w:rPr>
        <w:t>Accordingly</w:t>
      </w:r>
      <w:r w:rsidRPr="000F7038">
        <w:rPr>
          <w:rFonts w:ascii="Times New Roman" w:hAnsi="Times New Roman" w:cs="Times New Roman"/>
          <w:color w:val="000000" w:themeColor="text1"/>
          <w:sz w:val="24"/>
          <w:szCs w:val="24"/>
        </w:rPr>
        <w:t xml:space="preserve">, future research might can use </w:t>
      </w:r>
      <w:r w:rsidR="00777017" w:rsidRPr="000F7038">
        <w:rPr>
          <w:rFonts w:ascii="Times New Roman" w:hAnsi="Times New Roman" w:cs="Times New Roman"/>
          <w:color w:val="000000" w:themeColor="text1"/>
          <w:sz w:val="24"/>
          <w:szCs w:val="24"/>
        </w:rPr>
        <w:t>dichotomous</w:t>
      </w:r>
      <w:r w:rsidRPr="000F7038">
        <w:rPr>
          <w:rFonts w:ascii="Times New Roman" w:hAnsi="Times New Roman" w:cs="Times New Roman"/>
          <w:color w:val="000000" w:themeColor="text1"/>
          <w:sz w:val="24"/>
          <w:szCs w:val="24"/>
        </w:rPr>
        <w:t xml:space="preserve"> </w:t>
      </w:r>
      <w:r w:rsidR="00EC2A9C" w:rsidRPr="000F7038">
        <w:rPr>
          <w:rFonts w:ascii="Times New Roman" w:hAnsi="Times New Roman" w:cs="Times New Roman"/>
          <w:color w:val="000000" w:themeColor="text1"/>
          <w:sz w:val="24"/>
          <w:szCs w:val="24"/>
        </w:rPr>
        <w:t xml:space="preserve">index </w:t>
      </w:r>
      <w:r w:rsidRPr="000F7038">
        <w:rPr>
          <w:rFonts w:ascii="Times New Roman" w:hAnsi="Times New Roman" w:cs="Times New Roman"/>
          <w:color w:val="000000" w:themeColor="text1"/>
          <w:sz w:val="24"/>
          <w:szCs w:val="24"/>
        </w:rPr>
        <w:t xml:space="preserve">method to collect the information of environmental. </w:t>
      </w:r>
    </w:p>
    <w:p w14:paraId="6ADFF0AC" w14:textId="48E1BC93" w:rsidR="00EC2A9C" w:rsidRPr="000F7038" w:rsidRDefault="00A178D4" w:rsidP="006E01D2">
      <w:pPr>
        <w:pStyle w:val="ListParagraph"/>
        <w:spacing w:after="0" w:line="240" w:lineRule="auto"/>
        <w:ind w:left="0" w:firstLine="72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The third limitation of th</w:t>
      </w:r>
      <w:r w:rsidR="005710F8" w:rsidRPr="000F7038">
        <w:rPr>
          <w:rFonts w:ascii="Times New Roman" w:hAnsi="Times New Roman" w:cs="Times New Roman"/>
          <w:color w:val="000000" w:themeColor="text1"/>
          <w:sz w:val="24"/>
          <w:szCs w:val="24"/>
        </w:rPr>
        <w:t>is</w:t>
      </w:r>
      <w:r w:rsidRPr="000F7038">
        <w:rPr>
          <w:rFonts w:ascii="Times New Roman" w:hAnsi="Times New Roman" w:cs="Times New Roman"/>
          <w:color w:val="000000" w:themeColor="text1"/>
          <w:sz w:val="24"/>
          <w:szCs w:val="24"/>
        </w:rPr>
        <w:t xml:space="preserve"> research was there have only six sectors such as Consumer Products, Construction, Plantation, Real Estate, Industrial, Technology and Trading service sectors that listed in Bursa Malaysia. Thus, future researcher should consist whole sample of public listed companies in Bursa Malaysia or replicate this study in other contexts to expand </w:t>
      </w:r>
      <w:r w:rsidRPr="000F7038">
        <w:rPr>
          <w:rFonts w:ascii="Times New Roman" w:hAnsi="Times New Roman" w:cs="Times New Roman"/>
          <w:color w:val="000000" w:themeColor="text1"/>
          <w:sz w:val="24"/>
          <w:szCs w:val="24"/>
        </w:rPr>
        <w:lastRenderedPageBreak/>
        <w:t xml:space="preserve">theory for generalization. The theoretical framework also can be expanded in the context of other emerging countries rather than Malaysia. </w:t>
      </w:r>
    </w:p>
    <w:p w14:paraId="593F2971" w14:textId="7B3D7161" w:rsidR="00576D34" w:rsidRPr="000F7038" w:rsidRDefault="00A178D4" w:rsidP="006E01D2">
      <w:pPr>
        <w:pStyle w:val="ListParagraph"/>
        <w:spacing w:after="0" w:line="240" w:lineRule="auto"/>
        <w:ind w:left="0" w:firstLine="72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Lastly, the </w:t>
      </w:r>
      <w:r w:rsidR="00AF4DE8" w:rsidRPr="000F7038">
        <w:rPr>
          <w:rFonts w:ascii="Times New Roman" w:hAnsi="Times New Roman" w:cs="Times New Roman"/>
          <w:color w:val="000000" w:themeColor="text1"/>
          <w:sz w:val="24"/>
          <w:szCs w:val="24"/>
        </w:rPr>
        <w:t xml:space="preserve">only variable that represent market liquidity is </w:t>
      </w:r>
      <w:proofErr w:type="gramStart"/>
      <w:r w:rsidR="00AF4DE8" w:rsidRPr="000F7038">
        <w:rPr>
          <w:rFonts w:ascii="Times New Roman" w:hAnsi="Times New Roman" w:cs="Times New Roman"/>
          <w:color w:val="000000" w:themeColor="text1"/>
          <w:sz w:val="24"/>
          <w:szCs w:val="24"/>
        </w:rPr>
        <w:t>bid-ask</w:t>
      </w:r>
      <w:proofErr w:type="gramEnd"/>
      <w:r w:rsidR="00AF4DE8" w:rsidRPr="000F7038">
        <w:rPr>
          <w:rFonts w:ascii="Times New Roman" w:hAnsi="Times New Roman" w:cs="Times New Roman"/>
          <w:color w:val="000000" w:themeColor="text1"/>
          <w:sz w:val="24"/>
          <w:szCs w:val="24"/>
        </w:rPr>
        <w:t xml:space="preserve"> spread.</w:t>
      </w:r>
      <w:r w:rsidRPr="000F7038">
        <w:rPr>
          <w:rFonts w:ascii="Times New Roman" w:hAnsi="Times New Roman" w:cs="Times New Roman"/>
          <w:color w:val="000000" w:themeColor="text1"/>
          <w:sz w:val="24"/>
          <w:szCs w:val="24"/>
        </w:rPr>
        <w:t xml:space="preserve"> </w:t>
      </w:r>
      <w:r w:rsidR="00AF4DE8" w:rsidRPr="000F7038">
        <w:rPr>
          <w:rFonts w:ascii="Times New Roman" w:hAnsi="Times New Roman" w:cs="Times New Roman"/>
          <w:color w:val="000000" w:themeColor="text1"/>
          <w:sz w:val="24"/>
          <w:szCs w:val="24"/>
        </w:rPr>
        <w:t>Future research can be exten</w:t>
      </w:r>
      <w:r w:rsidR="005710F8" w:rsidRPr="000F7038">
        <w:rPr>
          <w:rFonts w:ascii="Times New Roman" w:hAnsi="Times New Roman" w:cs="Times New Roman"/>
          <w:color w:val="000000" w:themeColor="text1"/>
          <w:sz w:val="24"/>
          <w:szCs w:val="24"/>
        </w:rPr>
        <w:t>ded to</w:t>
      </w:r>
      <w:r w:rsidR="00AF4DE8" w:rsidRPr="000F7038">
        <w:rPr>
          <w:rFonts w:ascii="Times New Roman" w:hAnsi="Times New Roman" w:cs="Times New Roman"/>
          <w:color w:val="000000" w:themeColor="text1"/>
          <w:sz w:val="24"/>
          <w:szCs w:val="24"/>
        </w:rPr>
        <w:t xml:space="preserve"> using other variables that represent market liquidity such as stock </w:t>
      </w:r>
      <w:r w:rsidR="004D7EED" w:rsidRPr="000F7038">
        <w:rPr>
          <w:rFonts w:ascii="Times New Roman" w:hAnsi="Times New Roman" w:cs="Times New Roman"/>
          <w:color w:val="000000" w:themeColor="text1"/>
          <w:sz w:val="24"/>
          <w:szCs w:val="24"/>
        </w:rPr>
        <w:t>volatility and number of trading.</w:t>
      </w:r>
      <w:r w:rsidRPr="000F7038">
        <w:rPr>
          <w:rFonts w:ascii="Times New Roman" w:hAnsi="Times New Roman" w:cs="Times New Roman"/>
          <w:color w:val="000000" w:themeColor="text1"/>
          <w:sz w:val="24"/>
          <w:szCs w:val="24"/>
        </w:rPr>
        <w:t xml:space="preserve"> </w:t>
      </w:r>
      <w:r w:rsidR="004D7EED" w:rsidRPr="000F7038">
        <w:rPr>
          <w:rFonts w:ascii="Times New Roman" w:hAnsi="Times New Roman" w:cs="Times New Roman"/>
          <w:color w:val="000000" w:themeColor="text1"/>
          <w:sz w:val="24"/>
          <w:szCs w:val="24"/>
        </w:rPr>
        <w:t>More understanding about environmental disclosure and market liquidity can be enhance</w:t>
      </w:r>
      <w:r w:rsidR="00485616" w:rsidRPr="000F7038">
        <w:rPr>
          <w:rFonts w:ascii="Times New Roman" w:hAnsi="Times New Roman" w:cs="Times New Roman"/>
          <w:color w:val="000000" w:themeColor="text1"/>
          <w:sz w:val="24"/>
          <w:szCs w:val="24"/>
        </w:rPr>
        <w:t>d</w:t>
      </w:r>
      <w:r w:rsidR="004D7EED" w:rsidRPr="000F7038">
        <w:rPr>
          <w:rFonts w:ascii="Times New Roman" w:hAnsi="Times New Roman" w:cs="Times New Roman"/>
          <w:color w:val="000000" w:themeColor="text1"/>
          <w:sz w:val="24"/>
          <w:szCs w:val="24"/>
        </w:rPr>
        <w:t xml:space="preserve"> by</w:t>
      </w:r>
      <w:r w:rsidR="00485616" w:rsidRPr="000F7038">
        <w:rPr>
          <w:rFonts w:ascii="Times New Roman" w:hAnsi="Times New Roman" w:cs="Times New Roman"/>
          <w:color w:val="000000" w:themeColor="text1"/>
          <w:sz w:val="24"/>
          <w:szCs w:val="24"/>
        </w:rPr>
        <w:t xml:space="preserve"> investigating</w:t>
      </w:r>
      <w:r w:rsidR="004D7EED" w:rsidRPr="000F7038">
        <w:rPr>
          <w:rFonts w:ascii="Times New Roman" w:hAnsi="Times New Roman" w:cs="Times New Roman"/>
          <w:color w:val="000000" w:themeColor="text1"/>
          <w:sz w:val="24"/>
          <w:szCs w:val="24"/>
        </w:rPr>
        <w:t xml:space="preserve"> more variables </w:t>
      </w:r>
      <w:r w:rsidR="00485616" w:rsidRPr="000F7038">
        <w:rPr>
          <w:rFonts w:ascii="Times New Roman" w:hAnsi="Times New Roman" w:cs="Times New Roman"/>
          <w:color w:val="000000" w:themeColor="text1"/>
          <w:sz w:val="24"/>
          <w:szCs w:val="24"/>
        </w:rPr>
        <w:t>which was not included in</w:t>
      </w:r>
      <w:r w:rsidR="004D7EED" w:rsidRPr="000F7038">
        <w:rPr>
          <w:rFonts w:ascii="Times New Roman" w:hAnsi="Times New Roman" w:cs="Times New Roman"/>
          <w:color w:val="000000" w:themeColor="text1"/>
          <w:sz w:val="24"/>
          <w:szCs w:val="24"/>
        </w:rPr>
        <w:t xml:space="preserve"> this study.</w:t>
      </w:r>
    </w:p>
    <w:p w14:paraId="4B42123F" w14:textId="77777777" w:rsidR="009A3769" w:rsidRPr="000F7038" w:rsidRDefault="009A3769" w:rsidP="006E01D2">
      <w:pPr>
        <w:spacing w:after="0" w:line="240" w:lineRule="auto"/>
        <w:jc w:val="both"/>
        <w:rPr>
          <w:rFonts w:ascii="Times New Roman" w:hAnsi="Times New Roman" w:cs="Times New Roman"/>
          <w:b/>
          <w:bCs/>
          <w:color w:val="000000" w:themeColor="text1"/>
          <w:sz w:val="24"/>
          <w:szCs w:val="24"/>
        </w:rPr>
      </w:pPr>
    </w:p>
    <w:p w14:paraId="0A63072F" w14:textId="7BF6EF2A" w:rsidR="00576D34" w:rsidRPr="000F7038" w:rsidRDefault="00576D34" w:rsidP="006E01D2">
      <w:pPr>
        <w:spacing w:after="0" w:line="240" w:lineRule="auto"/>
        <w:jc w:val="both"/>
        <w:rPr>
          <w:rFonts w:ascii="Times New Roman" w:hAnsi="Times New Roman" w:cs="Times New Roman"/>
          <w:b/>
          <w:bCs/>
          <w:color w:val="000000" w:themeColor="text1"/>
          <w:sz w:val="24"/>
          <w:szCs w:val="24"/>
        </w:rPr>
      </w:pPr>
      <w:r w:rsidRPr="000F7038">
        <w:rPr>
          <w:rFonts w:ascii="Times New Roman" w:hAnsi="Times New Roman" w:cs="Times New Roman"/>
          <w:b/>
          <w:bCs/>
          <w:color w:val="000000" w:themeColor="text1"/>
          <w:sz w:val="24"/>
          <w:szCs w:val="24"/>
        </w:rPr>
        <w:t>Reference</w:t>
      </w:r>
      <w:r w:rsidR="006E01D2" w:rsidRPr="000F7038">
        <w:rPr>
          <w:rFonts w:ascii="Times New Roman" w:hAnsi="Times New Roman" w:cs="Times New Roman"/>
          <w:b/>
          <w:bCs/>
          <w:color w:val="000000" w:themeColor="text1"/>
          <w:sz w:val="24"/>
          <w:szCs w:val="24"/>
        </w:rPr>
        <w:t>s</w:t>
      </w:r>
    </w:p>
    <w:p w14:paraId="39F7ED6E"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rPr>
      </w:pPr>
      <w:proofErr w:type="spellStart"/>
      <w:r w:rsidRPr="000F7038">
        <w:rPr>
          <w:rFonts w:ascii="Times New Roman" w:hAnsi="Times New Roman" w:cs="Times New Roman"/>
          <w:color w:val="000000" w:themeColor="text1"/>
          <w:sz w:val="24"/>
          <w:szCs w:val="24"/>
          <w:shd w:val="clear" w:color="auto" w:fill="FFFFFF"/>
        </w:rPr>
        <w:t>Ajina</w:t>
      </w:r>
      <w:proofErr w:type="spellEnd"/>
      <w:r w:rsidRPr="000F7038">
        <w:rPr>
          <w:rFonts w:ascii="Times New Roman" w:hAnsi="Times New Roman" w:cs="Times New Roman"/>
          <w:color w:val="000000" w:themeColor="text1"/>
          <w:sz w:val="24"/>
          <w:szCs w:val="24"/>
          <w:shd w:val="clear" w:color="auto" w:fill="FFFFFF"/>
        </w:rPr>
        <w:t xml:space="preserve">, A., </w:t>
      </w:r>
      <w:proofErr w:type="spellStart"/>
      <w:r w:rsidRPr="000F7038">
        <w:rPr>
          <w:rFonts w:ascii="Times New Roman" w:hAnsi="Times New Roman" w:cs="Times New Roman"/>
          <w:color w:val="000000" w:themeColor="text1"/>
          <w:sz w:val="24"/>
          <w:szCs w:val="24"/>
          <w:shd w:val="clear" w:color="auto" w:fill="FFFFFF"/>
        </w:rPr>
        <w:t>Sougne</w:t>
      </w:r>
      <w:proofErr w:type="spellEnd"/>
      <w:r w:rsidRPr="000F7038">
        <w:rPr>
          <w:rFonts w:ascii="Times New Roman" w:hAnsi="Times New Roman" w:cs="Times New Roman"/>
          <w:color w:val="000000" w:themeColor="text1"/>
          <w:sz w:val="24"/>
          <w:szCs w:val="24"/>
          <w:shd w:val="clear" w:color="auto" w:fill="FFFFFF"/>
        </w:rPr>
        <w:t xml:space="preserve">, D., &amp; </w:t>
      </w:r>
      <w:proofErr w:type="spellStart"/>
      <w:r w:rsidRPr="000F7038">
        <w:rPr>
          <w:rFonts w:ascii="Times New Roman" w:hAnsi="Times New Roman" w:cs="Times New Roman"/>
          <w:color w:val="000000" w:themeColor="text1"/>
          <w:sz w:val="24"/>
          <w:szCs w:val="24"/>
          <w:shd w:val="clear" w:color="auto" w:fill="FFFFFF"/>
        </w:rPr>
        <w:t>Lakhal</w:t>
      </w:r>
      <w:proofErr w:type="spellEnd"/>
      <w:r w:rsidRPr="000F7038">
        <w:rPr>
          <w:rFonts w:ascii="Times New Roman" w:hAnsi="Times New Roman" w:cs="Times New Roman"/>
          <w:color w:val="000000" w:themeColor="text1"/>
          <w:sz w:val="24"/>
          <w:szCs w:val="24"/>
          <w:shd w:val="clear" w:color="auto" w:fill="FFFFFF"/>
        </w:rPr>
        <w:t>, F. (2015). Corporate disclosures, information asymmetry and stock-market liquidity in France. </w:t>
      </w:r>
      <w:r w:rsidRPr="000F7038">
        <w:rPr>
          <w:rFonts w:ascii="Times New Roman" w:hAnsi="Times New Roman" w:cs="Times New Roman"/>
          <w:i/>
          <w:iCs/>
          <w:color w:val="000000" w:themeColor="text1"/>
          <w:sz w:val="24"/>
          <w:szCs w:val="24"/>
          <w:shd w:val="clear" w:color="auto" w:fill="FFFFFF"/>
        </w:rPr>
        <w:t>Journal of Applied Business Research (JABR)</w:t>
      </w:r>
      <w:r w:rsidRPr="000F7038">
        <w:rPr>
          <w:rFonts w:ascii="Times New Roman" w:hAnsi="Times New Roman" w:cs="Times New Roman"/>
          <w:color w:val="000000" w:themeColor="text1"/>
          <w:sz w:val="24"/>
          <w:szCs w:val="24"/>
          <w:shd w:val="clear" w:color="auto" w:fill="FFFFFF"/>
        </w:rPr>
        <w:t>, </w:t>
      </w:r>
      <w:r w:rsidRPr="000F7038">
        <w:rPr>
          <w:rFonts w:ascii="Times New Roman" w:hAnsi="Times New Roman" w:cs="Times New Roman"/>
          <w:i/>
          <w:iCs/>
          <w:color w:val="000000" w:themeColor="text1"/>
          <w:sz w:val="24"/>
          <w:szCs w:val="24"/>
          <w:shd w:val="clear" w:color="auto" w:fill="FFFFFF"/>
        </w:rPr>
        <w:t>31</w:t>
      </w:r>
      <w:r w:rsidRPr="000F7038">
        <w:rPr>
          <w:rFonts w:ascii="Times New Roman" w:hAnsi="Times New Roman" w:cs="Times New Roman"/>
          <w:color w:val="000000" w:themeColor="text1"/>
          <w:sz w:val="24"/>
          <w:szCs w:val="24"/>
          <w:shd w:val="clear" w:color="auto" w:fill="FFFFFF"/>
        </w:rPr>
        <w:t>(4), 1223-1238.</w:t>
      </w:r>
    </w:p>
    <w:p w14:paraId="775C5D1D"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rPr>
      </w:pPr>
      <w:proofErr w:type="spellStart"/>
      <w:r w:rsidRPr="000F7038">
        <w:rPr>
          <w:rFonts w:ascii="Times New Roman" w:hAnsi="Times New Roman" w:cs="Times New Roman"/>
          <w:color w:val="000000" w:themeColor="text1"/>
          <w:sz w:val="24"/>
          <w:szCs w:val="24"/>
        </w:rPr>
        <w:t>Akrout</w:t>
      </w:r>
      <w:proofErr w:type="spellEnd"/>
      <w:r w:rsidRPr="000F7038">
        <w:rPr>
          <w:rFonts w:ascii="Times New Roman" w:hAnsi="Times New Roman" w:cs="Times New Roman"/>
          <w:color w:val="000000" w:themeColor="text1"/>
          <w:sz w:val="24"/>
          <w:szCs w:val="24"/>
        </w:rPr>
        <w:t xml:space="preserve">, M. M., &amp; Ben Othman, H. (2016). Environmental disclosure and stock market liquidity: evidence from Arab MENA emerging markets. </w:t>
      </w:r>
      <w:r w:rsidRPr="000F7038">
        <w:rPr>
          <w:rFonts w:ascii="Times New Roman" w:hAnsi="Times New Roman" w:cs="Times New Roman"/>
          <w:i/>
          <w:iCs/>
          <w:color w:val="000000" w:themeColor="text1"/>
          <w:sz w:val="24"/>
          <w:szCs w:val="24"/>
        </w:rPr>
        <w:t>Applied Economics, 48</w:t>
      </w:r>
      <w:r w:rsidRPr="000F7038">
        <w:rPr>
          <w:rFonts w:ascii="Times New Roman" w:hAnsi="Times New Roman" w:cs="Times New Roman"/>
          <w:color w:val="000000" w:themeColor="text1"/>
          <w:sz w:val="24"/>
          <w:szCs w:val="24"/>
        </w:rPr>
        <w:t>(20), 1840-1851.</w:t>
      </w:r>
    </w:p>
    <w:p w14:paraId="2D6D1EAB"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rPr>
      </w:pPr>
      <w:proofErr w:type="spellStart"/>
      <w:r w:rsidRPr="000F7038">
        <w:rPr>
          <w:rFonts w:ascii="Times New Roman" w:hAnsi="Times New Roman" w:cs="Times New Roman"/>
          <w:color w:val="000000" w:themeColor="text1"/>
          <w:sz w:val="24"/>
          <w:szCs w:val="24"/>
          <w:shd w:val="clear" w:color="auto" w:fill="FFFFFF"/>
        </w:rPr>
        <w:t>Amihud</w:t>
      </w:r>
      <w:proofErr w:type="spellEnd"/>
      <w:r w:rsidRPr="000F7038">
        <w:rPr>
          <w:rFonts w:ascii="Times New Roman" w:hAnsi="Times New Roman" w:cs="Times New Roman"/>
          <w:color w:val="000000" w:themeColor="text1"/>
          <w:sz w:val="24"/>
          <w:szCs w:val="24"/>
          <w:shd w:val="clear" w:color="auto" w:fill="FFFFFF"/>
        </w:rPr>
        <w:t>, Y. (2002). Illiquidity and stock returns: cross-section and time-series effects. </w:t>
      </w:r>
      <w:r w:rsidRPr="000F7038">
        <w:rPr>
          <w:rFonts w:ascii="Times New Roman" w:hAnsi="Times New Roman" w:cs="Times New Roman"/>
          <w:i/>
          <w:iCs/>
          <w:color w:val="000000" w:themeColor="text1"/>
          <w:sz w:val="24"/>
          <w:szCs w:val="24"/>
          <w:shd w:val="clear" w:color="auto" w:fill="FFFFFF"/>
        </w:rPr>
        <w:t>Journal of financial markets</w:t>
      </w:r>
      <w:r w:rsidRPr="000F7038">
        <w:rPr>
          <w:rFonts w:ascii="Times New Roman" w:hAnsi="Times New Roman" w:cs="Times New Roman"/>
          <w:color w:val="000000" w:themeColor="text1"/>
          <w:sz w:val="24"/>
          <w:szCs w:val="24"/>
          <w:shd w:val="clear" w:color="auto" w:fill="FFFFFF"/>
        </w:rPr>
        <w:t>, </w:t>
      </w:r>
      <w:r w:rsidRPr="000F7038">
        <w:rPr>
          <w:rFonts w:ascii="Times New Roman" w:hAnsi="Times New Roman" w:cs="Times New Roman"/>
          <w:i/>
          <w:iCs/>
          <w:color w:val="000000" w:themeColor="text1"/>
          <w:sz w:val="24"/>
          <w:szCs w:val="24"/>
          <w:shd w:val="clear" w:color="auto" w:fill="FFFFFF"/>
        </w:rPr>
        <w:t>5</w:t>
      </w:r>
      <w:r w:rsidRPr="000F7038">
        <w:rPr>
          <w:rFonts w:ascii="Times New Roman" w:hAnsi="Times New Roman" w:cs="Times New Roman"/>
          <w:color w:val="000000" w:themeColor="text1"/>
          <w:sz w:val="24"/>
          <w:szCs w:val="24"/>
          <w:shd w:val="clear" w:color="auto" w:fill="FFFFFF"/>
        </w:rPr>
        <w:t>(1), 31-56.</w:t>
      </w:r>
    </w:p>
    <w:p w14:paraId="4E3E46C9"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rPr>
      </w:pPr>
      <w:proofErr w:type="spellStart"/>
      <w:r w:rsidRPr="000F7038">
        <w:rPr>
          <w:rFonts w:ascii="Times New Roman" w:hAnsi="Times New Roman" w:cs="Times New Roman"/>
          <w:color w:val="000000" w:themeColor="text1"/>
          <w:sz w:val="24"/>
          <w:szCs w:val="24"/>
          <w:shd w:val="clear" w:color="auto" w:fill="FFFFFF"/>
        </w:rPr>
        <w:t>Ascioglu</w:t>
      </w:r>
      <w:proofErr w:type="spellEnd"/>
      <w:r w:rsidRPr="000F7038">
        <w:rPr>
          <w:rFonts w:ascii="Times New Roman" w:hAnsi="Times New Roman" w:cs="Times New Roman"/>
          <w:color w:val="000000" w:themeColor="text1"/>
          <w:sz w:val="24"/>
          <w:szCs w:val="24"/>
          <w:shd w:val="clear" w:color="auto" w:fill="FFFFFF"/>
        </w:rPr>
        <w:t>, A., Hegde, S. P., &amp; McDermott, J. B. (2005). Auditor compensation, disclosure quality, and market liquidity: Evidence from the stock market. </w:t>
      </w:r>
      <w:r w:rsidRPr="000F7038">
        <w:rPr>
          <w:rFonts w:ascii="Times New Roman" w:hAnsi="Times New Roman" w:cs="Times New Roman"/>
          <w:i/>
          <w:iCs/>
          <w:color w:val="000000" w:themeColor="text1"/>
          <w:sz w:val="24"/>
          <w:szCs w:val="24"/>
          <w:shd w:val="clear" w:color="auto" w:fill="FFFFFF"/>
        </w:rPr>
        <w:t>Journal of Accounting and Public Policy</w:t>
      </w:r>
      <w:r w:rsidRPr="000F7038">
        <w:rPr>
          <w:rFonts w:ascii="Times New Roman" w:hAnsi="Times New Roman" w:cs="Times New Roman"/>
          <w:color w:val="000000" w:themeColor="text1"/>
          <w:sz w:val="24"/>
          <w:szCs w:val="24"/>
          <w:shd w:val="clear" w:color="auto" w:fill="FFFFFF"/>
        </w:rPr>
        <w:t>, </w:t>
      </w:r>
      <w:r w:rsidRPr="000F7038">
        <w:rPr>
          <w:rFonts w:ascii="Times New Roman" w:hAnsi="Times New Roman" w:cs="Times New Roman"/>
          <w:i/>
          <w:iCs/>
          <w:color w:val="000000" w:themeColor="text1"/>
          <w:sz w:val="24"/>
          <w:szCs w:val="24"/>
          <w:shd w:val="clear" w:color="auto" w:fill="FFFFFF"/>
        </w:rPr>
        <w:t>24</w:t>
      </w:r>
      <w:r w:rsidRPr="000F7038">
        <w:rPr>
          <w:rFonts w:ascii="Times New Roman" w:hAnsi="Times New Roman" w:cs="Times New Roman"/>
          <w:color w:val="000000" w:themeColor="text1"/>
          <w:sz w:val="24"/>
          <w:szCs w:val="24"/>
          <w:shd w:val="clear" w:color="auto" w:fill="FFFFFF"/>
        </w:rPr>
        <w:t>(4), 325-354.</w:t>
      </w:r>
    </w:p>
    <w:p w14:paraId="462E5D7E"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shd w:val="clear" w:color="auto" w:fill="FFFFFF"/>
        </w:rPr>
      </w:pPr>
      <w:proofErr w:type="spellStart"/>
      <w:r w:rsidRPr="000F7038">
        <w:rPr>
          <w:rFonts w:ascii="Times New Roman" w:hAnsi="Times New Roman" w:cs="Times New Roman"/>
          <w:color w:val="000000" w:themeColor="text1"/>
          <w:sz w:val="24"/>
          <w:szCs w:val="24"/>
          <w:shd w:val="clear" w:color="auto" w:fill="FFFFFF"/>
        </w:rPr>
        <w:t>Biais</w:t>
      </w:r>
      <w:proofErr w:type="spellEnd"/>
      <w:r w:rsidRPr="000F7038">
        <w:rPr>
          <w:rFonts w:ascii="Times New Roman" w:hAnsi="Times New Roman" w:cs="Times New Roman"/>
          <w:color w:val="000000" w:themeColor="text1"/>
          <w:sz w:val="24"/>
          <w:szCs w:val="24"/>
          <w:shd w:val="clear" w:color="auto" w:fill="FFFFFF"/>
        </w:rPr>
        <w:t xml:space="preserve">, B., Foucault, T., &amp; </w:t>
      </w:r>
      <w:proofErr w:type="spellStart"/>
      <w:r w:rsidRPr="000F7038">
        <w:rPr>
          <w:rFonts w:ascii="Times New Roman" w:hAnsi="Times New Roman" w:cs="Times New Roman"/>
          <w:color w:val="000000" w:themeColor="text1"/>
          <w:sz w:val="24"/>
          <w:szCs w:val="24"/>
          <w:shd w:val="clear" w:color="auto" w:fill="FFFFFF"/>
        </w:rPr>
        <w:t>Hillion</w:t>
      </w:r>
      <w:proofErr w:type="spellEnd"/>
      <w:r w:rsidRPr="000F7038">
        <w:rPr>
          <w:rFonts w:ascii="Times New Roman" w:hAnsi="Times New Roman" w:cs="Times New Roman"/>
          <w:color w:val="000000" w:themeColor="text1"/>
          <w:sz w:val="24"/>
          <w:szCs w:val="24"/>
          <w:shd w:val="clear" w:color="auto" w:fill="FFFFFF"/>
        </w:rPr>
        <w:t>, P. (1997). </w:t>
      </w:r>
      <w:r w:rsidRPr="000F7038">
        <w:rPr>
          <w:rFonts w:ascii="Times New Roman" w:hAnsi="Times New Roman" w:cs="Times New Roman"/>
          <w:i/>
          <w:iCs/>
          <w:color w:val="000000" w:themeColor="text1"/>
          <w:sz w:val="24"/>
          <w:szCs w:val="24"/>
          <w:shd w:val="clear" w:color="auto" w:fill="FFFFFF"/>
        </w:rPr>
        <w:t xml:space="preserve">Microstructure des </w:t>
      </w:r>
      <w:proofErr w:type="spellStart"/>
      <w:r w:rsidRPr="000F7038">
        <w:rPr>
          <w:rFonts w:ascii="Times New Roman" w:hAnsi="Times New Roman" w:cs="Times New Roman"/>
          <w:i/>
          <w:iCs/>
          <w:color w:val="000000" w:themeColor="text1"/>
          <w:sz w:val="24"/>
          <w:szCs w:val="24"/>
          <w:shd w:val="clear" w:color="auto" w:fill="FFFFFF"/>
        </w:rPr>
        <w:t>marchés</w:t>
      </w:r>
      <w:proofErr w:type="spellEnd"/>
      <w:r w:rsidRPr="000F7038">
        <w:rPr>
          <w:rFonts w:ascii="Times New Roman" w:hAnsi="Times New Roman" w:cs="Times New Roman"/>
          <w:i/>
          <w:iCs/>
          <w:color w:val="000000" w:themeColor="text1"/>
          <w:sz w:val="24"/>
          <w:szCs w:val="24"/>
          <w:shd w:val="clear" w:color="auto" w:fill="FFFFFF"/>
        </w:rPr>
        <w:t xml:space="preserve"> financiers: institutions, </w:t>
      </w:r>
      <w:proofErr w:type="spellStart"/>
      <w:r w:rsidRPr="000F7038">
        <w:rPr>
          <w:rFonts w:ascii="Times New Roman" w:hAnsi="Times New Roman" w:cs="Times New Roman"/>
          <w:i/>
          <w:iCs/>
          <w:color w:val="000000" w:themeColor="text1"/>
          <w:sz w:val="24"/>
          <w:szCs w:val="24"/>
          <w:shd w:val="clear" w:color="auto" w:fill="FFFFFF"/>
        </w:rPr>
        <w:t>modèles</w:t>
      </w:r>
      <w:proofErr w:type="spellEnd"/>
      <w:r w:rsidRPr="000F7038">
        <w:rPr>
          <w:rFonts w:ascii="Times New Roman" w:hAnsi="Times New Roman" w:cs="Times New Roman"/>
          <w:i/>
          <w:iCs/>
          <w:color w:val="000000" w:themeColor="text1"/>
          <w:sz w:val="24"/>
          <w:szCs w:val="24"/>
          <w:shd w:val="clear" w:color="auto" w:fill="FFFFFF"/>
        </w:rPr>
        <w:t xml:space="preserve"> et tests </w:t>
      </w:r>
      <w:proofErr w:type="spellStart"/>
      <w:r w:rsidRPr="000F7038">
        <w:rPr>
          <w:rFonts w:ascii="Times New Roman" w:hAnsi="Times New Roman" w:cs="Times New Roman"/>
          <w:i/>
          <w:iCs/>
          <w:color w:val="000000" w:themeColor="text1"/>
          <w:sz w:val="24"/>
          <w:szCs w:val="24"/>
          <w:shd w:val="clear" w:color="auto" w:fill="FFFFFF"/>
        </w:rPr>
        <w:t>empiriques</w:t>
      </w:r>
      <w:proofErr w:type="spellEnd"/>
      <w:r w:rsidRPr="000F7038">
        <w:rPr>
          <w:rFonts w:ascii="Times New Roman" w:hAnsi="Times New Roman" w:cs="Times New Roman"/>
          <w:color w:val="000000" w:themeColor="text1"/>
          <w:sz w:val="24"/>
          <w:szCs w:val="24"/>
          <w:shd w:val="clear" w:color="auto" w:fill="FFFFFF"/>
        </w:rPr>
        <w:t xml:space="preserve">. Paris: Presses </w:t>
      </w:r>
      <w:proofErr w:type="spellStart"/>
      <w:r w:rsidRPr="000F7038">
        <w:rPr>
          <w:rFonts w:ascii="Times New Roman" w:hAnsi="Times New Roman" w:cs="Times New Roman"/>
          <w:color w:val="000000" w:themeColor="text1"/>
          <w:sz w:val="24"/>
          <w:szCs w:val="24"/>
          <w:shd w:val="clear" w:color="auto" w:fill="FFFFFF"/>
        </w:rPr>
        <w:t>universitaires</w:t>
      </w:r>
      <w:proofErr w:type="spellEnd"/>
      <w:r w:rsidRPr="000F7038">
        <w:rPr>
          <w:rFonts w:ascii="Times New Roman" w:hAnsi="Times New Roman" w:cs="Times New Roman"/>
          <w:color w:val="000000" w:themeColor="text1"/>
          <w:sz w:val="24"/>
          <w:szCs w:val="24"/>
          <w:shd w:val="clear" w:color="auto" w:fill="FFFFFF"/>
        </w:rPr>
        <w:t xml:space="preserve"> de France.</w:t>
      </w:r>
    </w:p>
    <w:p w14:paraId="7BC587C2"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rPr>
      </w:pPr>
      <w:proofErr w:type="spellStart"/>
      <w:r w:rsidRPr="000F7038">
        <w:rPr>
          <w:rFonts w:ascii="Times New Roman" w:hAnsi="Times New Roman" w:cs="Times New Roman"/>
          <w:color w:val="000000" w:themeColor="text1"/>
          <w:sz w:val="24"/>
          <w:szCs w:val="24"/>
        </w:rPr>
        <w:t>Botosan</w:t>
      </w:r>
      <w:proofErr w:type="spellEnd"/>
      <w:r w:rsidRPr="000F7038">
        <w:rPr>
          <w:rFonts w:ascii="Times New Roman" w:hAnsi="Times New Roman" w:cs="Times New Roman"/>
          <w:color w:val="000000" w:themeColor="text1"/>
          <w:sz w:val="24"/>
          <w:szCs w:val="24"/>
        </w:rPr>
        <w:t xml:space="preserve">, C. A., &amp; </w:t>
      </w:r>
      <w:proofErr w:type="spellStart"/>
      <w:r w:rsidRPr="000F7038">
        <w:rPr>
          <w:rFonts w:ascii="Times New Roman" w:hAnsi="Times New Roman" w:cs="Times New Roman"/>
          <w:color w:val="000000" w:themeColor="text1"/>
          <w:sz w:val="24"/>
          <w:szCs w:val="24"/>
        </w:rPr>
        <w:t>Plumlee</w:t>
      </w:r>
      <w:proofErr w:type="spellEnd"/>
      <w:r w:rsidRPr="000F7038">
        <w:rPr>
          <w:rFonts w:ascii="Times New Roman" w:hAnsi="Times New Roman" w:cs="Times New Roman"/>
          <w:color w:val="000000" w:themeColor="text1"/>
          <w:sz w:val="24"/>
          <w:szCs w:val="24"/>
        </w:rPr>
        <w:t xml:space="preserve">, M. A. (2002). A re‐examination of disclosure level and the expected cost of equity capital. </w:t>
      </w:r>
      <w:r w:rsidRPr="000F7038">
        <w:rPr>
          <w:rFonts w:ascii="Times New Roman" w:hAnsi="Times New Roman" w:cs="Times New Roman"/>
          <w:i/>
          <w:iCs/>
          <w:color w:val="000000" w:themeColor="text1"/>
          <w:sz w:val="24"/>
          <w:szCs w:val="24"/>
        </w:rPr>
        <w:t>Journal of Accounting Research, 40</w:t>
      </w:r>
      <w:r w:rsidRPr="000F7038">
        <w:rPr>
          <w:rFonts w:ascii="Times New Roman" w:hAnsi="Times New Roman" w:cs="Times New Roman"/>
          <w:color w:val="000000" w:themeColor="text1"/>
          <w:sz w:val="24"/>
          <w:szCs w:val="24"/>
        </w:rPr>
        <w:t>(1), 21-40.</w:t>
      </w:r>
    </w:p>
    <w:p w14:paraId="63F60746"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Chan, J. C. H., &amp; Welford, R. (2005). Assessing corporate environmental risk in China: An evaluation of reporting activities of Hong Kong listed enterprises. </w:t>
      </w:r>
      <w:r w:rsidRPr="000F7038">
        <w:rPr>
          <w:rFonts w:ascii="Times New Roman" w:hAnsi="Times New Roman" w:cs="Times New Roman"/>
          <w:i/>
          <w:iCs/>
          <w:color w:val="000000" w:themeColor="text1"/>
          <w:sz w:val="24"/>
          <w:szCs w:val="24"/>
        </w:rPr>
        <w:t>Corporate Social Responsibility and Environmental Management, 12(</w:t>
      </w:r>
      <w:r w:rsidRPr="000F7038">
        <w:rPr>
          <w:rFonts w:ascii="Times New Roman" w:hAnsi="Times New Roman" w:cs="Times New Roman"/>
          <w:color w:val="000000" w:themeColor="text1"/>
          <w:sz w:val="24"/>
          <w:szCs w:val="24"/>
        </w:rPr>
        <w:t>2), 88-104.</w:t>
      </w:r>
    </w:p>
    <w:p w14:paraId="7081F48C"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shd w:val="clear" w:color="auto" w:fill="FFFFFF"/>
        </w:rPr>
      </w:pPr>
      <w:r w:rsidRPr="000F7038">
        <w:rPr>
          <w:rFonts w:ascii="Times New Roman" w:hAnsi="Times New Roman" w:cs="Times New Roman"/>
          <w:color w:val="000000" w:themeColor="text1"/>
          <w:sz w:val="24"/>
          <w:szCs w:val="24"/>
          <w:shd w:val="clear" w:color="auto" w:fill="FFFFFF"/>
        </w:rPr>
        <w:t xml:space="preserve">Connelly, B. L., </w:t>
      </w:r>
      <w:proofErr w:type="spellStart"/>
      <w:r w:rsidRPr="000F7038">
        <w:rPr>
          <w:rFonts w:ascii="Times New Roman" w:hAnsi="Times New Roman" w:cs="Times New Roman"/>
          <w:color w:val="000000" w:themeColor="text1"/>
          <w:sz w:val="24"/>
          <w:szCs w:val="24"/>
          <w:shd w:val="clear" w:color="auto" w:fill="FFFFFF"/>
        </w:rPr>
        <w:t>Certo</w:t>
      </w:r>
      <w:proofErr w:type="spellEnd"/>
      <w:r w:rsidRPr="000F7038">
        <w:rPr>
          <w:rFonts w:ascii="Times New Roman" w:hAnsi="Times New Roman" w:cs="Times New Roman"/>
          <w:color w:val="000000" w:themeColor="text1"/>
          <w:sz w:val="24"/>
          <w:szCs w:val="24"/>
          <w:shd w:val="clear" w:color="auto" w:fill="FFFFFF"/>
        </w:rPr>
        <w:t xml:space="preserve">, S. T., Ireland, R. D., &amp; </w:t>
      </w:r>
      <w:proofErr w:type="spellStart"/>
      <w:r w:rsidRPr="000F7038">
        <w:rPr>
          <w:rFonts w:ascii="Times New Roman" w:hAnsi="Times New Roman" w:cs="Times New Roman"/>
          <w:color w:val="000000" w:themeColor="text1"/>
          <w:sz w:val="24"/>
          <w:szCs w:val="24"/>
          <w:shd w:val="clear" w:color="auto" w:fill="FFFFFF"/>
        </w:rPr>
        <w:t>Reutzel</w:t>
      </w:r>
      <w:proofErr w:type="spellEnd"/>
      <w:r w:rsidRPr="000F7038">
        <w:rPr>
          <w:rFonts w:ascii="Times New Roman" w:hAnsi="Times New Roman" w:cs="Times New Roman"/>
          <w:color w:val="000000" w:themeColor="text1"/>
          <w:sz w:val="24"/>
          <w:szCs w:val="24"/>
          <w:shd w:val="clear" w:color="auto" w:fill="FFFFFF"/>
        </w:rPr>
        <w:t xml:space="preserve">, C. R. (2011). </w:t>
      </w:r>
      <w:proofErr w:type="spellStart"/>
      <w:r w:rsidRPr="000F7038">
        <w:rPr>
          <w:rFonts w:ascii="Times New Roman" w:hAnsi="Times New Roman" w:cs="Times New Roman"/>
          <w:color w:val="000000" w:themeColor="text1"/>
          <w:sz w:val="24"/>
          <w:szCs w:val="24"/>
          <w:shd w:val="clear" w:color="auto" w:fill="FFFFFF"/>
        </w:rPr>
        <w:t>Signaling</w:t>
      </w:r>
      <w:proofErr w:type="spellEnd"/>
      <w:r w:rsidRPr="000F7038">
        <w:rPr>
          <w:rFonts w:ascii="Times New Roman" w:hAnsi="Times New Roman" w:cs="Times New Roman"/>
          <w:color w:val="000000" w:themeColor="text1"/>
          <w:sz w:val="24"/>
          <w:szCs w:val="24"/>
          <w:shd w:val="clear" w:color="auto" w:fill="FFFFFF"/>
        </w:rPr>
        <w:t xml:space="preserve"> theory: A review and assessment. </w:t>
      </w:r>
      <w:r w:rsidRPr="000F7038">
        <w:rPr>
          <w:rFonts w:ascii="Times New Roman" w:hAnsi="Times New Roman" w:cs="Times New Roman"/>
          <w:i/>
          <w:iCs/>
          <w:color w:val="000000" w:themeColor="text1"/>
          <w:sz w:val="24"/>
          <w:szCs w:val="24"/>
          <w:shd w:val="clear" w:color="auto" w:fill="FFFFFF"/>
        </w:rPr>
        <w:t>Journal of management</w:t>
      </w:r>
      <w:r w:rsidRPr="000F7038">
        <w:rPr>
          <w:rFonts w:ascii="Times New Roman" w:hAnsi="Times New Roman" w:cs="Times New Roman"/>
          <w:color w:val="000000" w:themeColor="text1"/>
          <w:sz w:val="24"/>
          <w:szCs w:val="24"/>
          <w:shd w:val="clear" w:color="auto" w:fill="FFFFFF"/>
        </w:rPr>
        <w:t>, </w:t>
      </w:r>
      <w:r w:rsidRPr="000F7038">
        <w:rPr>
          <w:rFonts w:ascii="Times New Roman" w:hAnsi="Times New Roman" w:cs="Times New Roman"/>
          <w:i/>
          <w:iCs/>
          <w:color w:val="000000" w:themeColor="text1"/>
          <w:sz w:val="24"/>
          <w:szCs w:val="24"/>
          <w:shd w:val="clear" w:color="auto" w:fill="FFFFFF"/>
        </w:rPr>
        <w:t>37</w:t>
      </w:r>
      <w:r w:rsidRPr="000F7038">
        <w:rPr>
          <w:rFonts w:ascii="Times New Roman" w:hAnsi="Times New Roman" w:cs="Times New Roman"/>
          <w:color w:val="000000" w:themeColor="text1"/>
          <w:sz w:val="24"/>
          <w:szCs w:val="24"/>
          <w:shd w:val="clear" w:color="auto" w:fill="FFFFFF"/>
        </w:rPr>
        <w:t>(1), 39-67.</w:t>
      </w:r>
    </w:p>
    <w:p w14:paraId="448FA32F"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shd w:val="clear" w:color="auto" w:fill="FFFFFF"/>
        </w:rPr>
      </w:pPr>
      <w:r w:rsidRPr="000F7038">
        <w:rPr>
          <w:rFonts w:ascii="Times New Roman" w:hAnsi="Times New Roman" w:cs="Times New Roman"/>
          <w:color w:val="000000" w:themeColor="text1"/>
          <w:sz w:val="24"/>
          <w:szCs w:val="24"/>
          <w:shd w:val="clear" w:color="auto" w:fill="FFFFFF"/>
        </w:rPr>
        <w:t xml:space="preserve">Dionne, G., &amp; </w:t>
      </w:r>
      <w:proofErr w:type="spellStart"/>
      <w:r w:rsidRPr="000F7038">
        <w:rPr>
          <w:rFonts w:ascii="Times New Roman" w:hAnsi="Times New Roman" w:cs="Times New Roman"/>
          <w:color w:val="000000" w:themeColor="text1"/>
          <w:sz w:val="24"/>
          <w:szCs w:val="24"/>
          <w:shd w:val="clear" w:color="auto" w:fill="FFFFFF"/>
        </w:rPr>
        <w:t>Ouederni</w:t>
      </w:r>
      <w:proofErr w:type="spellEnd"/>
      <w:r w:rsidRPr="000F7038">
        <w:rPr>
          <w:rFonts w:ascii="Times New Roman" w:hAnsi="Times New Roman" w:cs="Times New Roman"/>
          <w:color w:val="000000" w:themeColor="text1"/>
          <w:sz w:val="24"/>
          <w:szCs w:val="24"/>
          <w:shd w:val="clear" w:color="auto" w:fill="FFFFFF"/>
        </w:rPr>
        <w:t xml:space="preserve">, K. (2011). Corporate risk management and dividend </w:t>
      </w:r>
      <w:proofErr w:type="spellStart"/>
      <w:r w:rsidRPr="000F7038">
        <w:rPr>
          <w:rFonts w:ascii="Times New Roman" w:hAnsi="Times New Roman" w:cs="Times New Roman"/>
          <w:color w:val="000000" w:themeColor="text1"/>
          <w:sz w:val="24"/>
          <w:szCs w:val="24"/>
          <w:shd w:val="clear" w:color="auto" w:fill="FFFFFF"/>
        </w:rPr>
        <w:t>signaling</w:t>
      </w:r>
      <w:proofErr w:type="spellEnd"/>
      <w:r w:rsidRPr="000F7038">
        <w:rPr>
          <w:rFonts w:ascii="Times New Roman" w:hAnsi="Times New Roman" w:cs="Times New Roman"/>
          <w:color w:val="000000" w:themeColor="text1"/>
          <w:sz w:val="24"/>
          <w:szCs w:val="24"/>
          <w:shd w:val="clear" w:color="auto" w:fill="FFFFFF"/>
        </w:rPr>
        <w:t xml:space="preserve"> theory. </w:t>
      </w:r>
      <w:r w:rsidRPr="000F7038">
        <w:rPr>
          <w:rFonts w:ascii="Times New Roman" w:hAnsi="Times New Roman" w:cs="Times New Roman"/>
          <w:i/>
          <w:iCs/>
          <w:color w:val="000000" w:themeColor="text1"/>
          <w:sz w:val="24"/>
          <w:szCs w:val="24"/>
          <w:shd w:val="clear" w:color="auto" w:fill="FFFFFF"/>
        </w:rPr>
        <w:t>Finance Research Letters</w:t>
      </w:r>
      <w:r w:rsidRPr="000F7038">
        <w:rPr>
          <w:rFonts w:ascii="Times New Roman" w:hAnsi="Times New Roman" w:cs="Times New Roman"/>
          <w:color w:val="000000" w:themeColor="text1"/>
          <w:sz w:val="24"/>
          <w:szCs w:val="24"/>
          <w:shd w:val="clear" w:color="auto" w:fill="FFFFFF"/>
        </w:rPr>
        <w:t>, </w:t>
      </w:r>
      <w:r w:rsidRPr="000F7038">
        <w:rPr>
          <w:rFonts w:ascii="Times New Roman" w:hAnsi="Times New Roman" w:cs="Times New Roman"/>
          <w:i/>
          <w:iCs/>
          <w:color w:val="000000" w:themeColor="text1"/>
          <w:sz w:val="24"/>
          <w:szCs w:val="24"/>
          <w:shd w:val="clear" w:color="auto" w:fill="FFFFFF"/>
        </w:rPr>
        <w:t>8</w:t>
      </w:r>
      <w:r w:rsidRPr="000F7038">
        <w:rPr>
          <w:rFonts w:ascii="Times New Roman" w:hAnsi="Times New Roman" w:cs="Times New Roman"/>
          <w:color w:val="000000" w:themeColor="text1"/>
          <w:sz w:val="24"/>
          <w:szCs w:val="24"/>
          <w:shd w:val="clear" w:color="auto" w:fill="FFFFFF"/>
        </w:rPr>
        <w:t>(4), 188-195.</w:t>
      </w:r>
    </w:p>
    <w:p w14:paraId="55741385"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shd w:val="clear" w:color="auto" w:fill="FFFFFF"/>
        </w:rPr>
      </w:pPr>
      <w:r w:rsidRPr="000F7038">
        <w:rPr>
          <w:rFonts w:ascii="Times New Roman" w:hAnsi="Times New Roman" w:cs="Times New Roman"/>
          <w:color w:val="000000" w:themeColor="text1"/>
          <w:sz w:val="24"/>
          <w:szCs w:val="24"/>
          <w:shd w:val="clear" w:color="auto" w:fill="FFFFFF"/>
        </w:rPr>
        <w:t xml:space="preserve">Dionne, G., &amp; </w:t>
      </w:r>
      <w:proofErr w:type="spellStart"/>
      <w:r w:rsidRPr="000F7038">
        <w:rPr>
          <w:rFonts w:ascii="Times New Roman" w:hAnsi="Times New Roman" w:cs="Times New Roman"/>
          <w:color w:val="000000" w:themeColor="text1"/>
          <w:sz w:val="24"/>
          <w:szCs w:val="24"/>
          <w:shd w:val="clear" w:color="auto" w:fill="FFFFFF"/>
        </w:rPr>
        <w:t>Ouederni</w:t>
      </w:r>
      <w:proofErr w:type="spellEnd"/>
      <w:r w:rsidRPr="000F7038">
        <w:rPr>
          <w:rFonts w:ascii="Times New Roman" w:hAnsi="Times New Roman" w:cs="Times New Roman"/>
          <w:color w:val="000000" w:themeColor="text1"/>
          <w:sz w:val="24"/>
          <w:szCs w:val="24"/>
          <w:shd w:val="clear" w:color="auto" w:fill="FFFFFF"/>
        </w:rPr>
        <w:t xml:space="preserve">, K. (2011). Corporate risk management and dividend </w:t>
      </w:r>
      <w:proofErr w:type="spellStart"/>
      <w:r w:rsidRPr="000F7038">
        <w:rPr>
          <w:rFonts w:ascii="Times New Roman" w:hAnsi="Times New Roman" w:cs="Times New Roman"/>
          <w:color w:val="000000" w:themeColor="text1"/>
          <w:sz w:val="24"/>
          <w:szCs w:val="24"/>
          <w:shd w:val="clear" w:color="auto" w:fill="FFFFFF"/>
        </w:rPr>
        <w:t>signaling</w:t>
      </w:r>
      <w:proofErr w:type="spellEnd"/>
      <w:r w:rsidRPr="000F7038">
        <w:rPr>
          <w:rFonts w:ascii="Times New Roman" w:hAnsi="Times New Roman" w:cs="Times New Roman"/>
          <w:color w:val="000000" w:themeColor="text1"/>
          <w:sz w:val="24"/>
          <w:szCs w:val="24"/>
          <w:shd w:val="clear" w:color="auto" w:fill="FFFFFF"/>
        </w:rPr>
        <w:t xml:space="preserve"> theory. </w:t>
      </w:r>
      <w:r w:rsidRPr="000F7038">
        <w:rPr>
          <w:rFonts w:ascii="Times New Roman" w:hAnsi="Times New Roman" w:cs="Times New Roman"/>
          <w:i/>
          <w:iCs/>
          <w:color w:val="000000" w:themeColor="text1"/>
          <w:sz w:val="24"/>
          <w:szCs w:val="24"/>
          <w:shd w:val="clear" w:color="auto" w:fill="FFFFFF"/>
        </w:rPr>
        <w:t>Finance Research Letters</w:t>
      </w:r>
      <w:r w:rsidRPr="000F7038">
        <w:rPr>
          <w:rFonts w:ascii="Times New Roman" w:hAnsi="Times New Roman" w:cs="Times New Roman"/>
          <w:color w:val="000000" w:themeColor="text1"/>
          <w:sz w:val="24"/>
          <w:szCs w:val="24"/>
          <w:shd w:val="clear" w:color="auto" w:fill="FFFFFF"/>
        </w:rPr>
        <w:t>, </w:t>
      </w:r>
      <w:r w:rsidRPr="000F7038">
        <w:rPr>
          <w:rFonts w:ascii="Times New Roman" w:hAnsi="Times New Roman" w:cs="Times New Roman"/>
          <w:i/>
          <w:iCs/>
          <w:color w:val="000000" w:themeColor="text1"/>
          <w:sz w:val="24"/>
          <w:szCs w:val="24"/>
          <w:shd w:val="clear" w:color="auto" w:fill="FFFFFF"/>
        </w:rPr>
        <w:t>8</w:t>
      </w:r>
      <w:r w:rsidRPr="000F7038">
        <w:rPr>
          <w:rFonts w:ascii="Times New Roman" w:hAnsi="Times New Roman" w:cs="Times New Roman"/>
          <w:color w:val="000000" w:themeColor="text1"/>
          <w:sz w:val="24"/>
          <w:szCs w:val="24"/>
          <w:shd w:val="clear" w:color="auto" w:fill="FFFFFF"/>
        </w:rPr>
        <w:t>(4), 188-195.</w:t>
      </w:r>
    </w:p>
    <w:p w14:paraId="611DC02A"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shd w:val="clear" w:color="auto" w:fill="FFFFFF"/>
        </w:rPr>
        <w:t xml:space="preserve">Espinosa, M., Tapia Torres, M. Á., &amp; </w:t>
      </w:r>
      <w:proofErr w:type="spellStart"/>
      <w:r w:rsidRPr="000F7038">
        <w:rPr>
          <w:rFonts w:ascii="Times New Roman" w:hAnsi="Times New Roman" w:cs="Times New Roman"/>
          <w:color w:val="000000" w:themeColor="text1"/>
          <w:sz w:val="24"/>
          <w:szCs w:val="24"/>
          <w:shd w:val="clear" w:color="auto" w:fill="FFFFFF"/>
        </w:rPr>
        <w:t>Trombetta</w:t>
      </w:r>
      <w:proofErr w:type="spellEnd"/>
      <w:r w:rsidRPr="000F7038">
        <w:rPr>
          <w:rFonts w:ascii="Times New Roman" w:hAnsi="Times New Roman" w:cs="Times New Roman"/>
          <w:color w:val="000000" w:themeColor="text1"/>
          <w:sz w:val="24"/>
          <w:szCs w:val="24"/>
          <w:shd w:val="clear" w:color="auto" w:fill="FFFFFF"/>
        </w:rPr>
        <w:t>, M. (2005). Disclosure and liquidity.1-30.</w:t>
      </w:r>
    </w:p>
    <w:p w14:paraId="4D61E5D8"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rPr>
      </w:pPr>
      <w:proofErr w:type="spellStart"/>
      <w:r w:rsidRPr="000F7038">
        <w:rPr>
          <w:rFonts w:ascii="Times New Roman" w:hAnsi="Times New Roman" w:cs="Times New Roman"/>
          <w:color w:val="000000" w:themeColor="text1"/>
          <w:sz w:val="24"/>
          <w:szCs w:val="24"/>
        </w:rPr>
        <w:t>Hadded</w:t>
      </w:r>
      <w:proofErr w:type="spellEnd"/>
      <w:r w:rsidRPr="000F7038">
        <w:rPr>
          <w:rFonts w:ascii="Times New Roman" w:hAnsi="Times New Roman" w:cs="Times New Roman"/>
          <w:color w:val="000000" w:themeColor="text1"/>
          <w:sz w:val="24"/>
          <w:szCs w:val="24"/>
        </w:rPr>
        <w:t xml:space="preserve">, A., K. Wassim, and H. </w:t>
      </w:r>
      <w:proofErr w:type="spellStart"/>
      <w:r w:rsidRPr="000F7038">
        <w:rPr>
          <w:rFonts w:ascii="Times New Roman" w:hAnsi="Times New Roman" w:cs="Times New Roman"/>
          <w:color w:val="000000" w:themeColor="text1"/>
          <w:sz w:val="24"/>
          <w:szCs w:val="24"/>
        </w:rPr>
        <w:t>Nobanee</w:t>
      </w:r>
      <w:proofErr w:type="spellEnd"/>
      <w:r w:rsidRPr="000F7038">
        <w:rPr>
          <w:rFonts w:ascii="Times New Roman" w:hAnsi="Times New Roman" w:cs="Times New Roman"/>
          <w:color w:val="000000" w:themeColor="text1"/>
          <w:sz w:val="24"/>
          <w:szCs w:val="24"/>
        </w:rPr>
        <w:t xml:space="preserve">. (2009). Voluntary disclosure and stock liquidity: Evidence from the Jordanian capital market. </w:t>
      </w:r>
      <w:r w:rsidRPr="000F7038">
        <w:rPr>
          <w:rFonts w:ascii="Times New Roman" w:hAnsi="Times New Roman" w:cs="Times New Roman"/>
          <w:i/>
          <w:iCs/>
          <w:color w:val="000000" w:themeColor="text1"/>
          <w:sz w:val="24"/>
          <w:szCs w:val="24"/>
        </w:rPr>
        <w:t>International Journal Accounting, Auditing and performance Evaluation, 5</w:t>
      </w:r>
      <w:r w:rsidRPr="000F7038">
        <w:rPr>
          <w:rFonts w:ascii="Times New Roman" w:hAnsi="Times New Roman" w:cs="Times New Roman"/>
          <w:color w:val="000000" w:themeColor="text1"/>
          <w:sz w:val="24"/>
          <w:szCs w:val="24"/>
        </w:rPr>
        <w:t>(3), 285–309.</w:t>
      </w:r>
    </w:p>
    <w:p w14:paraId="3FBB8076"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Hail, L. (2002). The impact of voluntary corporate disclosures on the ex-ante cost of capital for Swiss firms. </w:t>
      </w:r>
      <w:r w:rsidRPr="000F7038">
        <w:rPr>
          <w:rFonts w:ascii="Times New Roman" w:hAnsi="Times New Roman" w:cs="Times New Roman"/>
          <w:i/>
          <w:iCs/>
          <w:color w:val="000000" w:themeColor="text1"/>
          <w:sz w:val="24"/>
          <w:szCs w:val="24"/>
        </w:rPr>
        <w:t>European Accounting Review, 11(</w:t>
      </w:r>
      <w:r w:rsidRPr="000F7038">
        <w:rPr>
          <w:rFonts w:ascii="Times New Roman" w:hAnsi="Times New Roman" w:cs="Times New Roman"/>
          <w:color w:val="000000" w:themeColor="text1"/>
          <w:sz w:val="24"/>
          <w:szCs w:val="24"/>
        </w:rPr>
        <w:t>4), 741-773.</w:t>
      </w:r>
    </w:p>
    <w:p w14:paraId="173C056A"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Healy, P. M., &amp; Palepu, K. G. (2001). Information asymmetry, corporate disclosure, and the capital markets: A review of the empirical disclosure literature. </w:t>
      </w:r>
      <w:r w:rsidRPr="000F7038">
        <w:rPr>
          <w:rFonts w:ascii="Times New Roman" w:hAnsi="Times New Roman" w:cs="Times New Roman"/>
          <w:i/>
          <w:iCs/>
          <w:color w:val="000000" w:themeColor="text1"/>
          <w:sz w:val="24"/>
          <w:szCs w:val="24"/>
        </w:rPr>
        <w:t>Journal of accounting and economics, 31</w:t>
      </w:r>
      <w:r w:rsidRPr="000F7038">
        <w:rPr>
          <w:rFonts w:ascii="Times New Roman" w:hAnsi="Times New Roman" w:cs="Times New Roman"/>
          <w:color w:val="000000" w:themeColor="text1"/>
          <w:sz w:val="24"/>
          <w:szCs w:val="24"/>
        </w:rPr>
        <w:t>(1-3), 405-440.</w:t>
      </w:r>
    </w:p>
    <w:p w14:paraId="74A85F1D"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Heflin, F. L., Shaw, K. W., &amp; Wild, J. J. (2005). Disclosure policy and market liquidity: Impact of depth quotes and order sizes. </w:t>
      </w:r>
      <w:r w:rsidRPr="000F7038">
        <w:rPr>
          <w:rFonts w:ascii="Times New Roman" w:hAnsi="Times New Roman" w:cs="Times New Roman"/>
          <w:i/>
          <w:iCs/>
          <w:color w:val="000000" w:themeColor="text1"/>
          <w:sz w:val="24"/>
          <w:szCs w:val="24"/>
        </w:rPr>
        <w:t>Contemporary accounting research, 22</w:t>
      </w:r>
      <w:r w:rsidRPr="000F7038">
        <w:rPr>
          <w:rFonts w:ascii="Times New Roman" w:hAnsi="Times New Roman" w:cs="Times New Roman"/>
          <w:color w:val="000000" w:themeColor="text1"/>
          <w:sz w:val="24"/>
          <w:szCs w:val="24"/>
        </w:rPr>
        <w:t>(4), 829-865.</w:t>
      </w:r>
    </w:p>
    <w:p w14:paraId="7A55D0CB"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rPr>
      </w:pPr>
      <w:proofErr w:type="spellStart"/>
      <w:r w:rsidRPr="000F7038">
        <w:rPr>
          <w:rFonts w:ascii="Times New Roman" w:hAnsi="Times New Roman" w:cs="Times New Roman"/>
          <w:color w:val="000000" w:themeColor="text1"/>
          <w:sz w:val="24"/>
          <w:szCs w:val="24"/>
        </w:rPr>
        <w:t>Kamatra</w:t>
      </w:r>
      <w:proofErr w:type="spellEnd"/>
      <w:r w:rsidRPr="000F7038">
        <w:rPr>
          <w:rFonts w:ascii="Times New Roman" w:hAnsi="Times New Roman" w:cs="Times New Roman"/>
          <w:color w:val="000000" w:themeColor="text1"/>
          <w:sz w:val="24"/>
          <w:szCs w:val="24"/>
        </w:rPr>
        <w:t xml:space="preserve">, N., &amp; </w:t>
      </w:r>
      <w:proofErr w:type="spellStart"/>
      <w:r w:rsidRPr="000F7038">
        <w:rPr>
          <w:rFonts w:ascii="Times New Roman" w:hAnsi="Times New Roman" w:cs="Times New Roman"/>
          <w:color w:val="000000" w:themeColor="text1"/>
          <w:sz w:val="24"/>
          <w:szCs w:val="24"/>
        </w:rPr>
        <w:t>Kartikaningdyah</w:t>
      </w:r>
      <w:proofErr w:type="spellEnd"/>
      <w:r w:rsidRPr="000F7038">
        <w:rPr>
          <w:rFonts w:ascii="Times New Roman" w:hAnsi="Times New Roman" w:cs="Times New Roman"/>
          <w:color w:val="000000" w:themeColor="text1"/>
          <w:sz w:val="24"/>
          <w:szCs w:val="24"/>
        </w:rPr>
        <w:t xml:space="preserve">, E. (2015). Effect corporate social responsibility on financial performance. </w:t>
      </w:r>
      <w:r w:rsidRPr="000F7038">
        <w:rPr>
          <w:rFonts w:ascii="Times New Roman" w:hAnsi="Times New Roman" w:cs="Times New Roman"/>
          <w:i/>
          <w:iCs/>
          <w:color w:val="000000" w:themeColor="text1"/>
          <w:sz w:val="24"/>
          <w:szCs w:val="24"/>
        </w:rPr>
        <w:t>International Journal of Economics and Financial Issues, 5</w:t>
      </w:r>
      <w:r w:rsidRPr="000F7038">
        <w:rPr>
          <w:rFonts w:ascii="Times New Roman" w:hAnsi="Times New Roman" w:cs="Times New Roman"/>
          <w:color w:val="000000" w:themeColor="text1"/>
          <w:sz w:val="24"/>
          <w:szCs w:val="24"/>
        </w:rPr>
        <w:t>(1S), 157-164.</w:t>
      </w:r>
    </w:p>
    <w:p w14:paraId="68EED21F" w14:textId="2C8FBEF6"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Kolk, A. (2000), The </w:t>
      </w:r>
      <w:r>
        <w:rPr>
          <w:rFonts w:ascii="Times New Roman" w:hAnsi="Times New Roman" w:cs="Times New Roman"/>
          <w:color w:val="000000" w:themeColor="text1"/>
          <w:sz w:val="24"/>
          <w:szCs w:val="24"/>
        </w:rPr>
        <w:t>e</w:t>
      </w:r>
      <w:r w:rsidRPr="000F7038">
        <w:rPr>
          <w:rFonts w:ascii="Times New Roman" w:hAnsi="Times New Roman" w:cs="Times New Roman"/>
          <w:color w:val="000000" w:themeColor="text1"/>
          <w:sz w:val="24"/>
          <w:szCs w:val="24"/>
        </w:rPr>
        <w:t xml:space="preserve">conomics of </w:t>
      </w:r>
      <w:r>
        <w:rPr>
          <w:rFonts w:ascii="Times New Roman" w:hAnsi="Times New Roman" w:cs="Times New Roman"/>
          <w:color w:val="000000" w:themeColor="text1"/>
          <w:sz w:val="24"/>
          <w:szCs w:val="24"/>
        </w:rPr>
        <w:t>e</w:t>
      </w:r>
      <w:r w:rsidRPr="000F7038">
        <w:rPr>
          <w:rFonts w:ascii="Times New Roman" w:hAnsi="Times New Roman" w:cs="Times New Roman"/>
          <w:color w:val="000000" w:themeColor="text1"/>
          <w:sz w:val="24"/>
          <w:szCs w:val="24"/>
        </w:rPr>
        <w:t xml:space="preserve">nvironmental </w:t>
      </w:r>
      <w:r>
        <w:rPr>
          <w:rFonts w:ascii="Times New Roman" w:hAnsi="Times New Roman" w:cs="Times New Roman"/>
          <w:color w:val="000000" w:themeColor="text1"/>
          <w:sz w:val="24"/>
          <w:szCs w:val="24"/>
        </w:rPr>
        <w:t>m</w:t>
      </w:r>
      <w:r w:rsidRPr="000F7038">
        <w:rPr>
          <w:rFonts w:ascii="Times New Roman" w:hAnsi="Times New Roman" w:cs="Times New Roman"/>
          <w:color w:val="000000" w:themeColor="text1"/>
          <w:sz w:val="24"/>
          <w:szCs w:val="24"/>
        </w:rPr>
        <w:t>anagement</w:t>
      </w:r>
      <w:r>
        <w:rPr>
          <w:rFonts w:ascii="Times New Roman" w:hAnsi="Times New Roman" w:cs="Times New Roman"/>
          <w:color w:val="000000" w:themeColor="text1"/>
          <w:sz w:val="24"/>
          <w:szCs w:val="24"/>
        </w:rPr>
        <w:t xml:space="preserve">. </w:t>
      </w:r>
      <w:r w:rsidRPr="000F7038">
        <w:rPr>
          <w:rFonts w:ascii="Times New Roman" w:hAnsi="Times New Roman" w:cs="Times New Roman"/>
          <w:i/>
          <w:iCs/>
          <w:color w:val="000000" w:themeColor="text1"/>
          <w:sz w:val="24"/>
          <w:szCs w:val="24"/>
        </w:rPr>
        <w:t>International Journal of Sustainability in Higher Education, 1(</w:t>
      </w:r>
      <w:r w:rsidRPr="000F7038">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Pr="000F7038">
        <w:rPr>
          <w:rFonts w:ascii="Times New Roman" w:hAnsi="Times New Roman" w:cs="Times New Roman"/>
          <w:color w:val="000000" w:themeColor="text1"/>
          <w:sz w:val="24"/>
          <w:szCs w:val="24"/>
        </w:rPr>
        <w:t>208-211.</w:t>
      </w:r>
    </w:p>
    <w:p w14:paraId="5310BA73"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rPr>
      </w:pPr>
      <w:proofErr w:type="spellStart"/>
      <w:r w:rsidRPr="000F7038">
        <w:rPr>
          <w:rFonts w:ascii="Times New Roman" w:hAnsi="Times New Roman" w:cs="Times New Roman"/>
          <w:color w:val="000000" w:themeColor="text1"/>
          <w:sz w:val="24"/>
          <w:szCs w:val="24"/>
        </w:rPr>
        <w:lastRenderedPageBreak/>
        <w:t>Leuz</w:t>
      </w:r>
      <w:proofErr w:type="spellEnd"/>
      <w:r w:rsidRPr="000F7038">
        <w:rPr>
          <w:rFonts w:ascii="Times New Roman" w:hAnsi="Times New Roman" w:cs="Times New Roman"/>
          <w:color w:val="000000" w:themeColor="text1"/>
          <w:sz w:val="24"/>
          <w:szCs w:val="24"/>
        </w:rPr>
        <w:t xml:space="preserve">, C., &amp; </w:t>
      </w:r>
      <w:proofErr w:type="spellStart"/>
      <w:r w:rsidRPr="000F7038">
        <w:rPr>
          <w:rFonts w:ascii="Times New Roman" w:hAnsi="Times New Roman" w:cs="Times New Roman"/>
          <w:color w:val="000000" w:themeColor="text1"/>
          <w:sz w:val="24"/>
          <w:szCs w:val="24"/>
        </w:rPr>
        <w:t>Verrecchia</w:t>
      </w:r>
      <w:proofErr w:type="spellEnd"/>
      <w:r w:rsidRPr="000F7038">
        <w:rPr>
          <w:rFonts w:ascii="Times New Roman" w:hAnsi="Times New Roman" w:cs="Times New Roman"/>
          <w:color w:val="000000" w:themeColor="text1"/>
          <w:sz w:val="24"/>
          <w:szCs w:val="24"/>
        </w:rPr>
        <w:t xml:space="preserve">, R. E. (2000). The economic consequences of increased disclosure. </w:t>
      </w:r>
      <w:r w:rsidRPr="000F7038">
        <w:rPr>
          <w:rFonts w:ascii="Times New Roman" w:hAnsi="Times New Roman" w:cs="Times New Roman"/>
          <w:i/>
          <w:iCs/>
          <w:color w:val="000000" w:themeColor="text1"/>
          <w:sz w:val="24"/>
          <w:szCs w:val="24"/>
        </w:rPr>
        <w:t>Journal of Accounting Research, 38</w:t>
      </w:r>
      <w:r w:rsidRPr="000F7038">
        <w:rPr>
          <w:rFonts w:ascii="Times New Roman" w:hAnsi="Times New Roman" w:cs="Times New Roman"/>
          <w:color w:val="000000" w:themeColor="text1"/>
          <w:sz w:val="24"/>
          <w:szCs w:val="24"/>
        </w:rPr>
        <w:t>, 91-124.</w:t>
      </w:r>
    </w:p>
    <w:p w14:paraId="43CDA538"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rPr>
      </w:pPr>
      <w:proofErr w:type="spellStart"/>
      <w:r w:rsidRPr="000F7038">
        <w:rPr>
          <w:rFonts w:ascii="Times New Roman" w:hAnsi="Times New Roman" w:cs="Times New Roman"/>
          <w:color w:val="000000" w:themeColor="text1"/>
          <w:sz w:val="24"/>
          <w:szCs w:val="24"/>
        </w:rPr>
        <w:t>Leuz</w:t>
      </w:r>
      <w:proofErr w:type="spellEnd"/>
      <w:r w:rsidRPr="000F7038">
        <w:rPr>
          <w:rFonts w:ascii="Times New Roman" w:hAnsi="Times New Roman" w:cs="Times New Roman"/>
          <w:color w:val="000000" w:themeColor="text1"/>
          <w:sz w:val="24"/>
          <w:szCs w:val="24"/>
        </w:rPr>
        <w:t>, C., &amp; Wysocki, P. D. (2008). Economic consequences of financial reporting and disclosure regulation: A review and suggestions for future research. Working paper, The University of Chicago and MIT Sloan School of Management.</w:t>
      </w:r>
    </w:p>
    <w:p w14:paraId="43482E35"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rPr>
      </w:pPr>
      <w:proofErr w:type="spellStart"/>
      <w:r w:rsidRPr="000F7038">
        <w:rPr>
          <w:rFonts w:ascii="Times New Roman" w:hAnsi="Times New Roman" w:cs="Times New Roman"/>
          <w:color w:val="000000" w:themeColor="text1"/>
          <w:sz w:val="24"/>
          <w:szCs w:val="24"/>
        </w:rPr>
        <w:t>Loukil</w:t>
      </w:r>
      <w:proofErr w:type="spellEnd"/>
      <w:r w:rsidRPr="000F7038">
        <w:rPr>
          <w:rFonts w:ascii="Times New Roman" w:hAnsi="Times New Roman" w:cs="Times New Roman"/>
          <w:color w:val="000000" w:themeColor="text1"/>
          <w:sz w:val="24"/>
          <w:szCs w:val="24"/>
        </w:rPr>
        <w:t xml:space="preserve">, N., &amp; </w:t>
      </w:r>
      <w:proofErr w:type="spellStart"/>
      <w:r w:rsidRPr="000F7038">
        <w:rPr>
          <w:rFonts w:ascii="Times New Roman" w:hAnsi="Times New Roman" w:cs="Times New Roman"/>
          <w:color w:val="000000" w:themeColor="text1"/>
          <w:sz w:val="24"/>
          <w:szCs w:val="24"/>
        </w:rPr>
        <w:t>Yousfi</w:t>
      </w:r>
      <w:proofErr w:type="spellEnd"/>
      <w:r w:rsidRPr="000F7038">
        <w:rPr>
          <w:rFonts w:ascii="Times New Roman" w:hAnsi="Times New Roman" w:cs="Times New Roman"/>
          <w:color w:val="000000" w:themeColor="text1"/>
          <w:sz w:val="24"/>
          <w:szCs w:val="24"/>
        </w:rPr>
        <w:t xml:space="preserve">, O. (2012). Firm's information environment and stock liquidity: Evidence from Tunisian context. </w:t>
      </w:r>
      <w:r w:rsidRPr="000F7038">
        <w:rPr>
          <w:rFonts w:ascii="Times New Roman" w:hAnsi="Times New Roman" w:cs="Times New Roman"/>
          <w:i/>
          <w:iCs/>
          <w:color w:val="000000" w:themeColor="text1"/>
          <w:sz w:val="24"/>
          <w:szCs w:val="24"/>
        </w:rPr>
        <w:t>Journal of Accounting in Emerging Economies, 2</w:t>
      </w:r>
      <w:r w:rsidRPr="000F7038">
        <w:rPr>
          <w:rFonts w:ascii="Times New Roman" w:hAnsi="Times New Roman" w:cs="Times New Roman"/>
          <w:color w:val="000000" w:themeColor="text1"/>
          <w:sz w:val="24"/>
          <w:szCs w:val="24"/>
        </w:rPr>
        <w:t>(1), 30-49.</w:t>
      </w:r>
    </w:p>
    <w:p w14:paraId="4321916D"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rPr>
      </w:pPr>
      <w:proofErr w:type="spellStart"/>
      <w:r w:rsidRPr="000F7038">
        <w:rPr>
          <w:rFonts w:ascii="Times New Roman" w:hAnsi="Times New Roman" w:cs="Times New Roman"/>
          <w:color w:val="000000" w:themeColor="text1"/>
          <w:sz w:val="24"/>
          <w:szCs w:val="24"/>
        </w:rPr>
        <w:t>Mohd</w:t>
      </w:r>
      <w:proofErr w:type="spellEnd"/>
      <w:r w:rsidRPr="000F7038">
        <w:rPr>
          <w:rFonts w:ascii="Times New Roman" w:hAnsi="Times New Roman" w:cs="Times New Roman"/>
          <w:color w:val="000000" w:themeColor="text1"/>
          <w:sz w:val="24"/>
          <w:szCs w:val="24"/>
        </w:rPr>
        <w:t xml:space="preserve"> Razali, M. W., Wong, Y. F., </w:t>
      </w:r>
      <w:proofErr w:type="spellStart"/>
      <w:r w:rsidRPr="000F7038">
        <w:rPr>
          <w:rFonts w:ascii="Times New Roman" w:hAnsi="Times New Roman" w:cs="Times New Roman"/>
          <w:color w:val="000000" w:themeColor="text1"/>
          <w:sz w:val="24"/>
          <w:szCs w:val="24"/>
        </w:rPr>
        <w:t>Shaharuddin</w:t>
      </w:r>
      <w:proofErr w:type="spellEnd"/>
      <w:r w:rsidRPr="000F7038">
        <w:rPr>
          <w:rFonts w:ascii="Times New Roman" w:hAnsi="Times New Roman" w:cs="Times New Roman"/>
          <w:color w:val="000000" w:themeColor="text1"/>
          <w:sz w:val="24"/>
          <w:szCs w:val="24"/>
        </w:rPr>
        <w:t xml:space="preserve">, S., </w:t>
      </w:r>
      <w:proofErr w:type="spellStart"/>
      <w:r w:rsidRPr="000F7038">
        <w:rPr>
          <w:rFonts w:ascii="Times New Roman" w:hAnsi="Times New Roman" w:cs="Times New Roman"/>
          <w:color w:val="000000" w:themeColor="text1"/>
          <w:sz w:val="24"/>
          <w:szCs w:val="24"/>
        </w:rPr>
        <w:t>Tak</w:t>
      </w:r>
      <w:proofErr w:type="spellEnd"/>
      <w:r w:rsidRPr="000F7038">
        <w:rPr>
          <w:rFonts w:ascii="Times New Roman" w:hAnsi="Times New Roman" w:cs="Times New Roman"/>
          <w:color w:val="000000" w:themeColor="text1"/>
          <w:sz w:val="24"/>
          <w:szCs w:val="24"/>
        </w:rPr>
        <w:t xml:space="preserve">, A. H., &amp; Ahmad </w:t>
      </w:r>
      <w:proofErr w:type="spellStart"/>
      <w:r w:rsidRPr="000F7038">
        <w:rPr>
          <w:rFonts w:ascii="Times New Roman" w:hAnsi="Times New Roman" w:cs="Times New Roman"/>
          <w:color w:val="000000" w:themeColor="text1"/>
          <w:sz w:val="24"/>
          <w:szCs w:val="24"/>
        </w:rPr>
        <w:t>Hajazi</w:t>
      </w:r>
      <w:proofErr w:type="spellEnd"/>
      <w:r w:rsidRPr="000F7038">
        <w:rPr>
          <w:rFonts w:ascii="Times New Roman" w:hAnsi="Times New Roman" w:cs="Times New Roman"/>
          <w:color w:val="000000" w:themeColor="text1"/>
          <w:sz w:val="24"/>
          <w:szCs w:val="24"/>
        </w:rPr>
        <w:t xml:space="preserve">, M. U. (2017). corporate social responsibility disclosure and cost of equity capital in industrial product industry. </w:t>
      </w:r>
      <w:r w:rsidRPr="000F7038">
        <w:rPr>
          <w:rFonts w:ascii="Times New Roman" w:hAnsi="Times New Roman" w:cs="Times New Roman"/>
          <w:i/>
          <w:iCs/>
          <w:color w:val="000000" w:themeColor="text1"/>
          <w:sz w:val="24"/>
          <w:szCs w:val="24"/>
        </w:rPr>
        <w:t>Journal of Humanities, Language, Culture and Business (HLCB), 1</w:t>
      </w:r>
      <w:r w:rsidRPr="000F7038">
        <w:rPr>
          <w:rFonts w:ascii="Times New Roman" w:hAnsi="Times New Roman" w:cs="Times New Roman"/>
          <w:color w:val="000000" w:themeColor="text1"/>
          <w:sz w:val="24"/>
          <w:szCs w:val="24"/>
        </w:rPr>
        <w:t xml:space="preserve">(12), 168–180. Retrieved from </w:t>
      </w:r>
      <w:hyperlink r:id="rId8" w:history="1">
        <w:r w:rsidRPr="000F7038">
          <w:rPr>
            <w:rStyle w:val="Hyperlink"/>
            <w:rFonts w:ascii="Times New Roman" w:hAnsi="Times New Roman" w:cs="Times New Roman"/>
            <w:color w:val="000000" w:themeColor="text1"/>
            <w:sz w:val="24"/>
            <w:szCs w:val="24"/>
          </w:rPr>
          <w:t>https://pdfs.semanticscholar.org/3af6/e682e4afd0d5e8718e13f3b423ce738686cf.pdf</w:t>
        </w:r>
      </w:hyperlink>
      <w:r w:rsidRPr="000F7038">
        <w:rPr>
          <w:rFonts w:ascii="Times New Roman" w:hAnsi="Times New Roman" w:cs="Times New Roman"/>
          <w:color w:val="000000" w:themeColor="text1"/>
          <w:sz w:val="24"/>
          <w:szCs w:val="24"/>
        </w:rPr>
        <w:t>.</w:t>
      </w:r>
    </w:p>
    <w:p w14:paraId="79D4EB32"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Muller III, K. A., &amp; </w:t>
      </w:r>
      <w:proofErr w:type="spellStart"/>
      <w:r w:rsidRPr="000F7038">
        <w:rPr>
          <w:rFonts w:ascii="Times New Roman" w:hAnsi="Times New Roman" w:cs="Times New Roman"/>
          <w:color w:val="000000" w:themeColor="text1"/>
          <w:sz w:val="24"/>
          <w:szCs w:val="24"/>
        </w:rPr>
        <w:t>Riedl</w:t>
      </w:r>
      <w:proofErr w:type="spellEnd"/>
      <w:r w:rsidRPr="000F7038">
        <w:rPr>
          <w:rFonts w:ascii="Times New Roman" w:hAnsi="Times New Roman" w:cs="Times New Roman"/>
          <w:color w:val="000000" w:themeColor="text1"/>
          <w:sz w:val="24"/>
          <w:szCs w:val="24"/>
        </w:rPr>
        <w:t xml:space="preserve">, E. J. (2002). External monitoring of property appraisal estimates and information asymmetry. </w:t>
      </w:r>
      <w:r w:rsidRPr="000F7038">
        <w:rPr>
          <w:rFonts w:ascii="Times New Roman" w:hAnsi="Times New Roman" w:cs="Times New Roman"/>
          <w:i/>
          <w:iCs/>
          <w:color w:val="000000" w:themeColor="text1"/>
          <w:sz w:val="24"/>
          <w:szCs w:val="24"/>
        </w:rPr>
        <w:t>Journal of Accounting Research, 40</w:t>
      </w:r>
      <w:r w:rsidRPr="000F7038">
        <w:rPr>
          <w:rFonts w:ascii="Times New Roman" w:hAnsi="Times New Roman" w:cs="Times New Roman"/>
          <w:color w:val="000000" w:themeColor="text1"/>
          <w:sz w:val="24"/>
          <w:szCs w:val="24"/>
        </w:rPr>
        <w:t>(3), 865-881.</w:t>
      </w:r>
    </w:p>
    <w:p w14:paraId="784FCCE1"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shd w:val="clear" w:color="auto" w:fill="FFFFFF"/>
        </w:rPr>
        <w:t>Ross, S. A. (1977). The determination of financial structure: the incentive-signalling approach. </w:t>
      </w:r>
      <w:r w:rsidRPr="000F7038">
        <w:rPr>
          <w:rFonts w:ascii="Times New Roman" w:hAnsi="Times New Roman" w:cs="Times New Roman"/>
          <w:i/>
          <w:iCs/>
          <w:color w:val="000000" w:themeColor="text1"/>
          <w:sz w:val="24"/>
          <w:szCs w:val="24"/>
          <w:shd w:val="clear" w:color="auto" w:fill="FFFFFF"/>
        </w:rPr>
        <w:t>The bell Journal of Economics, 8</w:t>
      </w:r>
      <w:r w:rsidRPr="000F7038">
        <w:rPr>
          <w:rFonts w:ascii="Times New Roman" w:hAnsi="Times New Roman" w:cs="Times New Roman"/>
          <w:color w:val="000000" w:themeColor="text1"/>
          <w:sz w:val="24"/>
          <w:szCs w:val="24"/>
          <w:shd w:val="clear" w:color="auto" w:fill="FFFFFF"/>
        </w:rPr>
        <w:t>(1), 23-40.</w:t>
      </w:r>
    </w:p>
    <w:p w14:paraId="2873CD59"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rPr>
      </w:pPr>
      <w:r w:rsidRPr="000F7038">
        <w:rPr>
          <w:rFonts w:ascii="Times New Roman" w:hAnsi="Times New Roman" w:cs="Times New Roman"/>
          <w:color w:val="000000" w:themeColor="text1"/>
          <w:sz w:val="24"/>
          <w:szCs w:val="24"/>
        </w:rPr>
        <w:t xml:space="preserve">Sahay, A. (2004). Environmental reporting by Indian corporations. </w:t>
      </w:r>
      <w:r w:rsidRPr="000F7038">
        <w:rPr>
          <w:rFonts w:ascii="Times New Roman" w:hAnsi="Times New Roman" w:cs="Times New Roman"/>
          <w:i/>
          <w:iCs/>
          <w:color w:val="000000" w:themeColor="text1"/>
          <w:sz w:val="24"/>
          <w:szCs w:val="24"/>
        </w:rPr>
        <w:t>Corporate Social Responsibility and Environmental Management, 11(</w:t>
      </w:r>
      <w:r w:rsidRPr="000F7038">
        <w:rPr>
          <w:rFonts w:ascii="Times New Roman" w:hAnsi="Times New Roman" w:cs="Times New Roman"/>
          <w:color w:val="000000" w:themeColor="text1"/>
          <w:sz w:val="24"/>
          <w:szCs w:val="24"/>
        </w:rPr>
        <w:t>1), 12-22.</w:t>
      </w:r>
    </w:p>
    <w:p w14:paraId="7D99A1AD"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shd w:val="clear" w:color="auto" w:fill="FFFFFF"/>
        </w:rPr>
      </w:pPr>
      <w:r w:rsidRPr="000F7038">
        <w:rPr>
          <w:rFonts w:ascii="Times New Roman" w:hAnsi="Times New Roman" w:cs="Times New Roman"/>
          <w:color w:val="000000" w:themeColor="text1"/>
          <w:sz w:val="24"/>
          <w:szCs w:val="24"/>
          <w:shd w:val="clear" w:color="auto" w:fill="FFFFFF"/>
        </w:rPr>
        <w:t xml:space="preserve">Taj, S. A. (2016). Application of </w:t>
      </w:r>
      <w:proofErr w:type="spellStart"/>
      <w:r w:rsidRPr="000F7038">
        <w:rPr>
          <w:rFonts w:ascii="Times New Roman" w:hAnsi="Times New Roman" w:cs="Times New Roman"/>
          <w:color w:val="000000" w:themeColor="text1"/>
          <w:sz w:val="24"/>
          <w:szCs w:val="24"/>
          <w:shd w:val="clear" w:color="auto" w:fill="FFFFFF"/>
        </w:rPr>
        <w:t>signaling</w:t>
      </w:r>
      <w:proofErr w:type="spellEnd"/>
      <w:r w:rsidRPr="000F7038">
        <w:rPr>
          <w:rFonts w:ascii="Times New Roman" w:hAnsi="Times New Roman" w:cs="Times New Roman"/>
          <w:color w:val="000000" w:themeColor="text1"/>
          <w:sz w:val="24"/>
          <w:szCs w:val="24"/>
          <w:shd w:val="clear" w:color="auto" w:fill="FFFFFF"/>
        </w:rPr>
        <w:t xml:space="preserve"> theory in management research: Addressing major gaps in theory. </w:t>
      </w:r>
      <w:r w:rsidRPr="000F7038">
        <w:rPr>
          <w:rFonts w:ascii="Times New Roman" w:hAnsi="Times New Roman" w:cs="Times New Roman"/>
          <w:i/>
          <w:iCs/>
          <w:color w:val="000000" w:themeColor="text1"/>
          <w:sz w:val="24"/>
          <w:szCs w:val="24"/>
          <w:shd w:val="clear" w:color="auto" w:fill="FFFFFF"/>
        </w:rPr>
        <w:t>European Management Journal</w:t>
      </w:r>
      <w:r w:rsidRPr="000F7038">
        <w:rPr>
          <w:rFonts w:ascii="Times New Roman" w:hAnsi="Times New Roman" w:cs="Times New Roman"/>
          <w:color w:val="000000" w:themeColor="text1"/>
          <w:sz w:val="24"/>
          <w:szCs w:val="24"/>
          <w:shd w:val="clear" w:color="auto" w:fill="FFFFFF"/>
        </w:rPr>
        <w:t>, </w:t>
      </w:r>
      <w:r w:rsidRPr="000F7038">
        <w:rPr>
          <w:rFonts w:ascii="Times New Roman" w:hAnsi="Times New Roman" w:cs="Times New Roman"/>
          <w:i/>
          <w:iCs/>
          <w:color w:val="000000" w:themeColor="text1"/>
          <w:sz w:val="24"/>
          <w:szCs w:val="24"/>
          <w:shd w:val="clear" w:color="auto" w:fill="FFFFFF"/>
        </w:rPr>
        <w:t>34</w:t>
      </w:r>
      <w:r w:rsidRPr="000F7038">
        <w:rPr>
          <w:rFonts w:ascii="Times New Roman" w:hAnsi="Times New Roman" w:cs="Times New Roman"/>
          <w:color w:val="000000" w:themeColor="text1"/>
          <w:sz w:val="24"/>
          <w:szCs w:val="24"/>
          <w:shd w:val="clear" w:color="auto" w:fill="FFFFFF"/>
        </w:rPr>
        <w:t>(4), 338-348.</w:t>
      </w:r>
    </w:p>
    <w:p w14:paraId="09DC5B98"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rPr>
      </w:pPr>
      <w:proofErr w:type="spellStart"/>
      <w:r w:rsidRPr="000F7038">
        <w:rPr>
          <w:rFonts w:ascii="Times New Roman" w:hAnsi="Times New Roman" w:cs="Times New Roman"/>
          <w:color w:val="000000" w:themeColor="text1"/>
          <w:sz w:val="24"/>
          <w:szCs w:val="24"/>
          <w:shd w:val="clear" w:color="auto" w:fill="FFFFFF"/>
        </w:rPr>
        <w:t>Verrecchia</w:t>
      </w:r>
      <w:proofErr w:type="spellEnd"/>
      <w:r w:rsidRPr="000F7038">
        <w:rPr>
          <w:rFonts w:ascii="Times New Roman" w:hAnsi="Times New Roman" w:cs="Times New Roman"/>
          <w:color w:val="000000" w:themeColor="text1"/>
          <w:sz w:val="24"/>
          <w:szCs w:val="24"/>
          <w:shd w:val="clear" w:color="auto" w:fill="FFFFFF"/>
        </w:rPr>
        <w:t>, R. E. (2001). Essays on disclosure. </w:t>
      </w:r>
      <w:r w:rsidRPr="000F7038">
        <w:rPr>
          <w:rFonts w:ascii="Times New Roman" w:hAnsi="Times New Roman" w:cs="Times New Roman"/>
          <w:i/>
          <w:iCs/>
          <w:color w:val="000000" w:themeColor="text1"/>
          <w:sz w:val="24"/>
          <w:szCs w:val="24"/>
          <w:shd w:val="clear" w:color="auto" w:fill="FFFFFF"/>
        </w:rPr>
        <w:t>Journal of accounting and economics</w:t>
      </w:r>
      <w:r w:rsidRPr="000F7038">
        <w:rPr>
          <w:rFonts w:ascii="Times New Roman" w:hAnsi="Times New Roman" w:cs="Times New Roman"/>
          <w:color w:val="000000" w:themeColor="text1"/>
          <w:sz w:val="24"/>
          <w:szCs w:val="24"/>
          <w:shd w:val="clear" w:color="auto" w:fill="FFFFFF"/>
        </w:rPr>
        <w:t>, </w:t>
      </w:r>
      <w:r w:rsidRPr="000F7038">
        <w:rPr>
          <w:rFonts w:ascii="Times New Roman" w:hAnsi="Times New Roman" w:cs="Times New Roman"/>
          <w:i/>
          <w:iCs/>
          <w:color w:val="000000" w:themeColor="text1"/>
          <w:sz w:val="24"/>
          <w:szCs w:val="24"/>
          <w:shd w:val="clear" w:color="auto" w:fill="FFFFFF"/>
        </w:rPr>
        <w:t>32</w:t>
      </w:r>
      <w:r w:rsidRPr="000F7038">
        <w:rPr>
          <w:rFonts w:ascii="Times New Roman" w:hAnsi="Times New Roman" w:cs="Times New Roman"/>
          <w:color w:val="000000" w:themeColor="text1"/>
          <w:sz w:val="24"/>
          <w:szCs w:val="24"/>
          <w:shd w:val="clear" w:color="auto" w:fill="FFFFFF"/>
        </w:rPr>
        <w:t>(1-3), 97-180.</w:t>
      </w:r>
    </w:p>
    <w:p w14:paraId="65B27F81" w14:textId="77777777" w:rsidR="000F7038" w:rsidRPr="000F7038" w:rsidRDefault="000F7038" w:rsidP="006E01D2">
      <w:pPr>
        <w:spacing w:after="0" w:line="240" w:lineRule="auto"/>
        <w:ind w:left="360" w:hanging="360"/>
        <w:jc w:val="both"/>
        <w:rPr>
          <w:rFonts w:ascii="Times New Roman" w:hAnsi="Times New Roman" w:cs="Times New Roman"/>
          <w:color w:val="000000" w:themeColor="text1"/>
          <w:sz w:val="24"/>
          <w:szCs w:val="24"/>
        </w:rPr>
      </w:pPr>
      <w:proofErr w:type="spellStart"/>
      <w:r w:rsidRPr="000F7038">
        <w:rPr>
          <w:rFonts w:ascii="Times New Roman" w:hAnsi="Times New Roman" w:cs="Times New Roman"/>
          <w:color w:val="000000" w:themeColor="text1"/>
          <w:sz w:val="24"/>
          <w:szCs w:val="24"/>
        </w:rPr>
        <w:t>Zeghal</w:t>
      </w:r>
      <w:proofErr w:type="spellEnd"/>
      <w:r w:rsidRPr="000F7038">
        <w:rPr>
          <w:rFonts w:ascii="Times New Roman" w:hAnsi="Times New Roman" w:cs="Times New Roman"/>
          <w:color w:val="000000" w:themeColor="text1"/>
          <w:sz w:val="24"/>
          <w:szCs w:val="24"/>
        </w:rPr>
        <w:t xml:space="preserve">, D., and S. A. Ahmed. 1990. Comparison of social responsibility information. disclosure media used by Canadian Firms.  </w:t>
      </w:r>
      <w:r w:rsidRPr="000F7038">
        <w:rPr>
          <w:rFonts w:ascii="Times New Roman" w:hAnsi="Times New Roman" w:cs="Times New Roman"/>
          <w:i/>
          <w:iCs/>
          <w:color w:val="000000" w:themeColor="text1"/>
          <w:sz w:val="24"/>
          <w:szCs w:val="24"/>
        </w:rPr>
        <w:t>Accounting, Auditing &amp; Accountability Journal, 3</w:t>
      </w:r>
      <w:r w:rsidRPr="000F7038">
        <w:rPr>
          <w:rFonts w:ascii="Times New Roman" w:hAnsi="Times New Roman" w:cs="Times New Roman"/>
          <w:color w:val="000000" w:themeColor="text1"/>
          <w:sz w:val="24"/>
          <w:szCs w:val="24"/>
        </w:rPr>
        <w:t>(1), 38-53.</w:t>
      </w:r>
    </w:p>
    <w:sectPr w:rsidR="000F7038" w:rsidRPr="000F7038" w:rsidSect="00F405D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5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08526" w14:textId="77777777" w:rsidR="00B53C2C" w:rsidRDefault="00B53C2C" w:rsidP="00037B03">
      <w:pPr>
        <w:spacing w:after="0" w:line="240" w:lineRule="auto"/>
      </w:pPr>
      <w:r>
        <w:separator/>
      </w:r>
    </w:p>
  </w:endnote>
  <w:endnote w:type="continuationSeparator" w:id="0">
    <w:p w14:paraId="3C01290F" w14:textId="77777777" w:rsidR="00B53C2C" w:rsidRDefault="00B53C2C" w:rsidP="00037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96F74" w14:textId="77777777" w:rsidR="00F405D5" w:rsidRDefault="00F40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F4683" w14:textId="33495C93" w:rsidR="00F405D5" w:rsidRPr="00F405D5" w:rsidRDefault="00F405D5" w:rsidP="00F405D5">
    <w:pPr>
      <w:pBdr>
        <w:top w:val="single" w:sz="4" w:space="1" w:color="auto"/>
      </w:pBdr>
      <w:tabs>
        <w:tab w:val="center" w:pos="4680"/>
        <w:tab w:val="right" w:pos="9000"/>
        <w:tab w:val="right" w:pos="9360"/>
      </w:tabs>
      <w:rPr>
        <w:rFonts w:ascii="Times New Roman" w:eastAsia="Calibri" w:hAnsi="Times New Roman" w:cs="Times New Roman"/>
        <w:sz w:val="20"/>
        <w:szCs w:val="20"/>
        <w:lang w:eastAsia="en-US"/>
      </w:rPr>
    </w:pPr>
    <w:bookmarkStart w:id="0" w:name="_GoBack"/>
    <w:bookmarkEnd w:id="0"/>
    <w:r w:rsidRPr="00F405D5">
      <w:rPr>
        <w:rFonts w:ascii="Times New Roman" w:eastAsia="Calibri" w:hAnsi="Times New Roman" w:cs="Times New Roman"/>
        <w:i/>
        <w:sz w:val="20"/>
        <w:szCs w:val="20"/>
        <w:lang w:eastAsia="en-US"/>
      </w:rPr>
      <w:t>© 2019 UNIMAS All Rights Reserved</w:t>
    </w:r>
    <w:r w:rsidRPr="00F405D5">
      <w:rPr>
        <w:rFonts w:ascii="Times New Roman" w:eastAsia="Calibri" w:hAnsi="Times New Roman" w:cs="Times New Roman"/>
        <w:sz w:val="20"/>
        <w:szCs w:val="20"/>
        <w:lang w:eastAsia="en-US"/>
      </w:rPr>
      <w:t xml:space="preserve"> </w:t>
    </w:r>
    <w:r w:rsidRPr="00F405D5">
      <w:rPr>
        <w:rFonts w:ascii="Times New Roman" w:eastAsia="Calibri" w:hAnsi="Times New Roman" w:cs="Times New Roman"/>
        <w:sz w:val="20"/>
        <w:szCs w:val="20"/>
        <w:lang w:eastAsia="en-US"/>
      </w:rPr>
      <w:tab/>
    </w:r>
    <w:r w:rsidRPr="00F405D5">
      <w:rPr>
        <w:rFonts w:ascii="Times New Roman" w:eastAsia="Calibri" w:hAnsi="Times New Roman" w:cs="Times New Roman"/>
        <w:sz w:val="20"/>
        <w:szCs w:val="20"/>
        <w:lang w:eastAsia="en-US"/>
      </w:rPr>
      <w:tab/>
    </w:r>
    <w:r w:rsidRPr="00F405D5">
      <w:rPr>
        <w:rFonts w:ascii="Times New Roman" w:eastAsia="Calibri" w:hAnsi="Times New Roman" w:cs="Times New Roman"/>
        <w:color w:val="7F7F7F" w:themeColor="background1" w:themeShade="7F"/>
        <w:spacing w:val="60"/>
        <w:sz w:val="20"/>
        <w:szCs w:val="20"/>
        <w:lang w:eastAsia="en-US"/>
      </w:rPr>
      <w:t>Page</w:t>
    </w:r>
    <w:r w:rsidRPr="00F405D5">
      <w:rPr>
        <w:rFonts w:ascii="Times New Roman" w:eastAsia="Calibri" w:hAnsi="Times New Roman" w:cs="Times New Roman"/>
        <w:sz w:val="20"/>
        <w:szCs w:val="20"/>
        <w:lang w:eastAsia="en-US"/>
      </w:rPr>
      <w:t xml:space="preserve"> | </w:t>
    </w:r>
    <w:r w:rsidRPr="00F405D5">
      <w:rPr>
        <w:rFonts w:ascii="Times New Roman" w:eastAsia="Calibri" w:hAnsi="Times New Roman" w:cs="Times New Roman"/>
        <w:sz w:val="20"/>
        <w:szCs w:val="20"/>
        <w:lang w:eastAsia="en-US"/>
      </w:rPr>
      <w:fldChar w:fldCharType="begin"/>
    </w:r>
    <w:r w:rsidRPr="00F405D5">
      <w:rPr>
        <w:rFonts w:ascii="Times New Roman" w:eastAsia="Calibri" w:hAnsi="Times New Roman" w:cs="Times New Roman"/>
        <w:sz w:val="20"/>
        <w:szCs w:val="20"/>
        <w:lang w:eastAsia="en-US"/>
      </w:rPr>
      <w:instrText xml:space="preserve"> PAGE   \* MERGEFORMAT </w:instrText>
    </w:r>
    <w:r w:rsidRPr="00F405D5">
      <w:rPr>
        <w:rFonts w:ascii="Times New Roman" w:eastAsia="Calibri" w:hAnsi="Times New Roman" w:cs="Times New Roman"/>
        <w:sz w:val="20"/>
        <w:szCs w:val="20"/>
        <w:lang w:eastAsia="en-US"/>
      </w:rPr>
      <w:fldChar w:fldCharType="separate"/>
    </w:r>
    <w:r w:rsidRPr="00F405D5">
      <w:rPr>
        <w:rFonts w:ascii="Times New Roman" w:eastAsia="Calibri" w:hAnsi="Times New Roman" w:cs="Times New Roman"/>
        <w:b/>
        <w:bCs/>
        <w:noProof/>
        <w:sz w:val="20"/>
        <w:szCs w:val="20"/>
        <w:lang w:eastAsia="en-US"/>
      </w:rPr>
      <w:t>1</w:t>
    </w:r>
    <w:r w:rsidRPr="00F405D5">
      <w:rPr>
        <w:rFonts w:ascii="Times New Roman" w:eastAsia="Calibri" w:hAnsi="Times New Roman" w:cs="Times New Roman"/>
        <w:b/>
        <w:bCs/>
        <w:noProof/>
        <w:sz w:val="20"/>
        <w:szCs w:val="20"/>
        <w:lang w:eastAsia="en-US"/>
      </w:rPr>
      <w:fldChar w:fldCharType="end"/>
    </w:r>
    <w:r w:rsidRPr="00F405D5">
      <w:rPr>
        <w:rFonts w:ascii="Times New Roman" w:eastAsia="Calibri" w:hAnsi="Times New Roman" w:cs="Times New Roman"/>
        <w:sz w:val="20"/>
        <w:szCs w:val="20"/>
        <w:lang w:eastAsia="en-US"/>
      </w:rPr>
      <w:t xml:space="preserve"> </w:t>
    </w:r>
  </w:p>
  <w:p w14:paraId="384000FF" w14:textId="2AA0FA24" w:rsidR="00037B03" w:rsidRDefault="00037B03">
    <w:pPr>
      <w:pStyle w:val="Footer"/>
      <w:jc w:val="center"/>
    </w:pPr>
  </w:p>
  <w:p w14:paraId="0AC23EAB" w14:textId="77777777" w:rsidR="00037B03" w:rsidRDefault="00037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CFEF7" w14:textId="77777777" w:rsidR="00F405D5" w:rsidRDefault="00F40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AF09B" w14:textId="77777777" w:rsidR="00B53C2C" w:rsidRDefault="00B53C2C" w:rsidP="00037B03">
      <w:pPr>
        <w:spacing w:after="0" w:line="240" w:lineRule="auto"/>
      </w:pPr>
      <w:r>
        <w:separator/>
      </w:r>
    </w:p>
  </w:footnote>
  <w:footnote w:type="continuationSeparator" w:id="0">
    <w:p w14:paraId="4A27F306" w14:textId="77777777" w:rsidR="00B53C2C" w:rsidRDefault="00B53C2C" w:rsidP="00037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2152E" w14:textId="77777777" w:rsidR="00F405D5" w:rsidRDefault="00F4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E17CE" w14:textId="77777777" w:rsidR="00F405D5" w:rsidRPr="00F405D5" w:rsidRDefault="00F405D5" w:rsidP="00F405D5">
    <w:pPr>
      <w:pBdr>
        <w:bottom w:val="single" w:sz="4" w:space="1" w:color="auto"/>
      </w:pBdr>
      <w:tabs>
        <w:tab w:val="center" w:pos="4680"/>
        <w:tab w:val="right" w:pos="9360"/>
      </w:tabs>
      <w:spacing w:after="0" w:line="240" w:lineRule="auto"/>
      <w:jc w:val="right"/>
      <w:rPr>
        <w:rFonts w:ascii="Times New Roman" w:eastAsia="Calibri" w:hAnsi="Times New Roman" w:cs="Times New Roman"/>
        <w:i/>
        <w:sz w:val="20"/>
        <w:szCs w:val="20"/>
        <w:lang w:eastAsia="en-US"/>
      </w:rPr>
    </w:pPr>
    <w:r w:rsidRPr="00F405D5">
      <w:rPr>
        <w:rFonts w:ascii="Times New Roman" w:eastAsia="Calibri" w:hAnsi="Times New Roman" w:cs="Times New Roman"/>
        <w:i/>
        <w:sz w:val="20"/>
        <w:szCs w:val="20"/>
        <w:lang w:eastAsia="en-US"/>
      </w:rPr>
      <w:t>UNIMAS Review of Accounting and Finance</w:t>
    </w:r>
  </w:p>
  <w:p w14:paraId="7DC41E03" w14:textId="77777777" w:rsidR="00F405D5" w:rsidRPr="00F405D5" w:rsidRDefault="00F405D5" w:rsidP="00F405D5">
    <w:pPr>
      <w:pBdr>
        <w:bottom w:val="single" w:sz="4" w:space="1" w:color="auto"/>
      </w:pBdr>
      <w:tabs>
        <w:tab w:val="center" w:pos="4680"/>
        <w:tab w:val="right" w:pos="9360"/>
      </w:tabs>
      <w:spacing w:after="0" w:line="240" w:lineRule="auto"/>
      <w:jc w:val="right"/>
      <w:rPr>
        <w:rFonts w:ascii="Calibri" w:eastAsia="Calibri" w:hAnsi="Calibri" w:cs="Times New Roman"/>
        <w:i/>
        <w:sz w:val="20"/>
        <w:szCs w:val="20"/>
        <w:lang w:eastAsia="en-US"/>
      </w:rPr>
    </w:pPr>
    <w:r w:rsidRPr="00F405D5">
      <w:rPr>
        <w:rFonts w:ascii="Times New Roman" w:eastAsia="Calibri" w:hAnsi="Times New Roman" w:cs="Times New Roman"/>
        <w:i/>
        <w:sz w:val="20"/>
        <w:szCs w:val="20"/>
        <w:lang w:eastAsia="en-US"/>
      </w:rPr>
      <w:t>Vol.2 No. 1 2019</w:t>
    </w:r>
  </w:p>
  <w:p w14:paraId="67C053AC" w14:textId="77777777" w:rsidR="00F405D5" w:rsidRPr="00F405D5" w:rsidRDefault="00F405D5" w:rsidP="00F405D5">
    <w:pPr>
      <w:widowControl w:val="0"/>
      <w:tabs>
        <w:tab w:val="center" w:pos="4513"/>
        <w:tab w:val="right" w:pos="9026"/>
      </w:tabs>
      <w:spacing w:after="0" w:line="240" w:lineRule="auto"/>
      <w:jc w:val="both"/>
      <w:rPr>
        <w:rFonts w:ascii="Times New Roman" w:eastAsia="SimSun" w:hAnsi="Times New Roman" w:cs="Times New Roman"/>
        <w:kern w:val="2"/>
        <w:sz w:val="21"/>
        <w:szCs w:val="24"/>
        <w:lang w:val="en-US"/>
      </w:rPr>
    </w:pPr>
  </w:p>
  <w:p w14:paraId="524F3FED" w14:textId="77777777" w:rsidR="00F405D5" w:rsidRDefault="00F405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A05F3" w14:textId="77777777" w:rsidR="00F405D5" w:rsidRDefault="00F40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C14CB"/>
    <w:multiLevelType w:val="multilevel"/>
    <w:tmpl w:val="C7768AC6"/>
    <w:lvl w:ilvl="0">
      <w:start w:val="1"/>
      <w:numFmt w:val="decimal"/>
      <w:lvlText w:val="%1."/>
      <w:lvlJc w:val="left"/>
      <w:pPr>
        <w:ind w:left="72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FDE50E7"/>
    <w:multiLevelType w:val="hybridMultilevel"/>
    <w:tmpl w:val="937EAEB8"/>
    <w:lvl w:ilvl="0" w:tplc="5C86FAC8">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76"/>
    <w:rsid w:val="00026BAF"/>
    <w:rsid w:val="00037B03"/>
    <w:rsid w:val="00073A3E"/>
    <w:rsid w:val="0009726B"/>
    <w:rsid w:val="000B0187"/>
    <w:rsid w:val="000B62AA"/>
    <w:rsid w:val="000B70E2"/>
    <w:rsid w:val="000D368E"/>
    <w:rsid w:val="000E2646"/>
    <w:rsid w:val="000F7038"/>
    <w:rsid w:val="000F7B22"/>
    <w:rsid w:val="00153EA0"/>
    <w:rsid w:val="00157236"/>
    <w:rsid w:val="001610BD"/>
    <w:rsid w:val="00162C5F"/>
    <w:rsid w:val="00184666"/>
    <w:rsid w:val="00187BF0"/>
    <w:rsid w:val="001961AF"/>
    <w:rsid w:val="00214C58"/>
    <w:rsid w:val="00233FAE"/>
    <w:rsid w:val="0024373E"/>
    <w:rsid w:val="00252482"/>
    <w:rsid w:val="002813BC"/>
    <w:rsid w:val="00282EAB"/>
    <w:rsid w:val="002C19F2"/>
    <w:rsid w:val="00305DB8"/>
    <w:rsid w:val="00383B6A"/>
    <w:rsid w:val="00390BB8"/>
    <w:rsid w:val="003D7336"/>
    <w:rsid w:val="0040680E"/>
    <w:rsid w:val="00466576"/>
    <w:rsid w:val="00485616"/>
    <w:rsid w:val="004A0A70"/>
    <w:rsid w:val="004D7EED"/>
    <w:rsid w:val="004E3A9D"/>
    <w:rsid w:val="004E7457"/>
    <w:rsid w:val="00521C8D"/>
    <w:rsid w:val="005364B4"/>
    <w:rsid w:val="005710F8"/>
    <w:rsid w:val="00576D34"/>
    <w:rsid w:val="00594F54"/>
    <w:rsid w:val="005C506E"/>
    <w:rsid w:val="005E2716"/>
    <w:rsid w:val="00600CA1"/>
    <w:rsid w:val="00651867"/>
    <w:rsid w:val="0065572E"/>
    <w:rsid w:val="006648E4"/>
    <w:rsid w:val="006742AF"/>
    <w:rsid w:val="00697A64"/>
    <w:rsid w:val="006A61AE"/>
    <w:rsid w:val="006B4691"/>
    <w:rsid w:val="006E01D2"/>
    <w:rsid w:val="006F5A86"/>
    <w:rsid w:val="00747243"/>
    <w:rsid w:val="00777017"/>
    <w:rsid w:val="007B5387"/>
    <w:rsid w:val="00824253"/>
    <w:rsid w:val="008546D5"/>
    <w:rsid w:val="008748BF"/>
    <w:rsid w:val="00880B73"/>
    <w:rsid w:val="00890559"/>
    <w:rsid w:val="008931C0"/>
    <w:rsid w:val="0093130B"/>
    <w:rsid w:val="009579D7"/>
    <w:rsid w:val="009A3769"/>
    <w:rsid w:val="009C38CF"/>
    <w:rsid w:val="009F3569"/>
    <w:rsid w:val="00A178D4"/>
    <w:rsid w:val="00AA2C6D"/>
    <w:rsid w:val="00AF4DE8"/>
    <w:rsid w:val="00AF69D9"/>
    <w:rsid w:val="00B04392"/>
    <w:rsid w:val="00B41275"/>
    <w:rsid w:val="00B53C2C"/>
    <w:rsid w:val="00B63B4A"/>
    <w:rsid w:val="00BC308A"/>
    <w:rsid w:val="00C61A3C"/>
    <w:rsid w:val="00CA1028"/>
    <w:rsid w:val="00CC3389"/>
    <w:rsid w:val="00CE4AF2"/>
    <w:rsid w:val="00CE4BA7"/>
    <w:rsid w:val="00D507D9"/>
    <w:rsid w:val="00D5470B"/>
    <w:rsid w:val="00D80F8A"/>
    <w:rsid w:val="00D8603D"/>
    <w:rsid w:val="00DE7116"/>
    <w:rsid w:val="00E030CF"/>
    <w:rsid w:val="00E05B5B"/>
    <w:rsid w:val="00E20EEC"/>
    <w:rsid w:val="00E410C2"/>
    <w:rsid w:val="00E806CC"/>
    <w:rsid w:val="00EA594F"/>
    <w:rsid w:val="00EC2A9C"/>
    <w:rsid w:val="00EE2CEE"/>
    <w:rsid w:val="00EE3F5C"/>
    <w:rsid w:val="00EE4186"/>
    <w:rsid w:val="00F405D5"/>
    <w:rsid w:val="00F442B0"/>
    <w:rsid w:val="00F838CE"/>
    <w:rsid w:val="00F93617"/>
    <w:rsid w:val="00F96453"/>
    <w:rsid w:val="00FB2F77"/>
    <w:rsid w:val="00FB60D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C7F05"/>
  <w15:chartTrackingRefBased/>
  <w15:docId w15:val="{D1774DB0-ECCE-4E6B-B6DD-F899C28B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F8A"/>
    <w:pPr>
      <w:ind w:left="720"/>
      <w:contextualSpacing/>
    </w:pPr>
  </w:style>
  <w:style w:type="table" w:customStyle="1" w:styleId="TableGrid">
    <w:name w:val="TableGrid"/>
    <w:rsid w:val="003D7336"/>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3D7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30CF"/>
    <w:pPr>
      <w:autoSpaceDE w:val="0"/>
      <w:autoSpaceDN w:val="0"/>
      <w:adjustRightInd w:val="0"/>
      <w:spacing w:after="0" w:line="240" w:lineRule="auto"/>
    </w:pPr>
    <w:rPr>
      <w:rFonts w:ascii="Times New Roman" w:hAnsi="Times New Roman" w:cs="Times New Roman"/>
      <w:color w:val="000000"/>
      <w:sz w:val="24"/>
      <w:szCs w:val="24"/>
      <w:lang w:val="ms-MY"/>
    </w:rPr>
  </w:style>
  <w:style w:type="character" w:styleId="CommentReference">
    <w:name w:val="annotation reference"/>
    <w:basedOn w:val="DefaultParagraphFont"/>
    <w:uiPriority w:val="99"/>
    <w:semiHidden/>
    <w:unhideWhenUsed/>
    <w:rsid w:val="00162C5F"/>
    <w:rPr>
      <w:sz w:val="16"/>
      <w:szCs w:val="16"/>
    </w:rPr>
  </w:style>
  <w:style w:type="paragraph" w:styleId="CommentText">
    <w:name w:val="annotation text"/>
    <w:basedOn w:val="Normal"/>
    <w:link w:val="CommentTextChar"/>
    <w:uiPriority w:val="99"/>
    <w:semiHidden/>
    <w:unhideWhenUsed/>
    <w:rsid w:val="00162C5F"/>
    <w:pPr>
      <w:spacing w:line="240" w:lineRule="auto"/>
    </w:pPr>
    <w:rPr>
      <w:sz w:val="20"/>
      <w:szCs w:val="20"/>
    </w:rPr>
  </w:style>
  <w:style w:type="character" w:customStyle="1" w:styleId="CommentTextChar">
    <w:name w:val="Comment Text Char"/>
    <w:basedOn w:val="DefaultParagraphFont"/>
    <w:link w:val="CommentText"/>
    <w:uiPriority w:val="99"/>
    <w:semiHidden/>
    <w:rsid w:val="00162C5F"/>
    <w:rPr>
      <w:sz w:val="20"/>
      <w:szCs w:val="20"/>
    </w:rPr>
  </w:style>
  <w:style w:type="paragraph" w:styleId="CommentSubject">
    <w:name w:val="annotation subject"/>
    <w:basedOn w:val="CommentText"/>
    <w:next w:val="CommentText"/>
    <w:link w:val="CommentSubjectChar"/>
    <w:uiPriority w:val="99"/>
    <w:semiHidden/>
    <w:unhideWhenUsed/>
    <w:rsid w:val="00162C5F"/>
    <w:rPr>
      <w:b/>
      <w:bCs/>
    </w:rPr>
  </w:style>
  <w:style w:type="character" w:customStyle="1" w:styleId="CommentSubjectChar">
    <w:name w:val="Comment Subject Char"/>
    <w:basedOn w:val="CommentTextChar"/>
    <w:link w:val="CommentSubject"/>
    <w:uiPriority w:val="99"/>
    <w:semiHidden/>
    <w:rsid w:val="00162C5F"/>
    <w:rPr>
      <w:b/>
      <w:bCs/>
      <w:sz w:val="20"/>
      <w:szCs w:val="20"/>
    </w:rPr>
  </w:style>
  <w:style w:type="paragraph" w:styleId="BalloonText">
    <w:name w:val="Balloon Text"/>
    <w:basedOn w:val="Normal"/>
    <w:link w:val="BalloonTextChar"/>
    <w:uiPriority w:val="99"/>
    <w:semiHidden/>
    <w:unhideWhenUsed/>
    <w:rsid w:val="00162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C5F"/>
    <w:rPr>
      <w:rFonts w:ascii="Segoe UI" w:hAnsi="Segoe UI" w:cs="Segoe UI"/>
      <w:sz w:val="18"/>
      <w:szCs w:val="18"/>
    </w:rPr>
  </w:style>
  <w:style w:type="character" w:styleId="Hyperlink">
    <w:name w:val="Hyperlink"/>
    <w:basedOn w:val="DefaultParagraphFont"/>
    <w:uiPriority w:val="99"/>
    <w:unhideWhenUsed/>
    <w:rsid w:val="007B5387"/>
    <w:rPr>
      <w:color w:val="0563C1" w:themeColor="hyperlink"/>
      <w:u w:val="single"/>
    </w:rPr>
  </w:style>
  <w:style w:type="character" w:styleId="UnresolvedMention">
    <w:name w:val="Unresolved Mention"/>
    <w:basedOn w:val="DefaultParagraphFont"/>
    <w:uiPriority w:val="99"/>
    <w:semiHidden/>
    <w:unhideWhenUsed/>
    <w:rsid w:val="007B5387"/>
    <w:rPr>
      <w:color w:val="605E5C"/>
      <w:shd w:val="clear" w:color="auto" w:fill="E1DFDD"/>
    </w:rPr>
  </w:style>
  <w:style w:type="paragraph" w:styleId="Header">
    <w:name w:val="header"/>
    <w:basedOn w:val="Normal"/>
    <w:link w:val="HeaderChar"/>
    <w:uiPriority w:val="99"/>
    <w:unhideWhenUsed/>
    <w:rsid w:val="00037B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B03"/>
  </w:style>
  <w:style w:type="paragraph" w:styleId="Footer">
    <w:name w:val="footer"/>
    <w:basedOn w:val="Normal"/>
    <w:link w:val="FooterChar"/>
    <w:uiPriority w:val="99"/>
    <w:unhideWhenUsed/>
    <w:rsid w:val="00037B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fs.semanticscholar.org/3af6/e682e4afd0d5e8718e13f3b423ce738686cf.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alirazali@yahoo.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4141</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lch hh</dc:creator>
  <cp:keywords/>
  <dc:description/>
  <cp:lastModifiedBy>Sophee Sulong bin Balia</cp:lastModifiedBy>
  <cp:revision>3</cp:revision>
  <dcterms:created xsi:type="dcterms:W3CDTF">2019-11-28T12:18:00Z</dcterms:created>
  <dcterms:modified xsi:type="dcterms:W3CDTF">2019-12-26T04:30:00Z</dcterms:modified>
</cp:coreProperties>
</file>