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FB057" w14:textId="77777777" w:rsidR="00E77939" w:rsidRPr="00012FBF" w:rsidRDefault="00E77939" w:rsidP="003C7A42">
      <w:pPr>
        <w:jc w:val="center"/>
        <w:rPr>
          <w:b/>
          <w:sz w:val="20"/>
          <w:szCs w:val="20"/>
        </w:rPr>
      </w:pPr>
    </w:p>
    <w:p w14:paraId="658CE487" w14:textId="77777777" w:rsidR="00E77939" w:rsidRPr="00012FBF" w:rsidRDefault="00E77939" w:rsidP="003C7A42">
      <w:pPr>
        <w:jc w:val="center"/>
        <w:rPr>
          <w:b/>
          <w:sz w:val="20"/>
          <w:szCs w:val="20"/>
        </w:rPr>
      </w:pPr>
    </w:p>
    <w:p w14:paraId="6927F099" w14:textId="77777777" w:rsidR="00FB363C" w:rsidRPr="003C7A42" w:rsidRDefault="00056146" w:rsidP="003C7A42">
      <w:pPr>
        <w:jc w:val="center"/>
        <w:rPr>
          <w:b/>
          <w:sz w:val="28"/>
          <w:szCs w:val="28"/>
        </w:rPr>
      </w:pPr>
      <w:r w:rsidRPr="003C7A42">
        <w:rPr>
          <w:b/>
          <w:sz w:val="28"/>
          <w:szCs w:val="28"/>
        </w:rPr>
        <w:t xml:space="preserve">Real </w:t>
      </w:r>
      <w:r w:rsidR="00FB363C" w:rsidRPr="003C7A42">
        <w:rPr>
          <w:b/>
          <w:sz w:val="28"/>
          <w:szCs w:val="28"/>
        </w:rPr>
        <w:t>Earnings Management and Audit Committee Characteristics</w:t>
      </w:r>
    </w:p>
    <w:p w14:paraId="3C460A74" w14:textId="77777777" w:rsidR="00E77939" w:rsidRDefault="00E77939" w:rsidP="003C7A42">
      <w:pPr>
        <w:jc w:val="center"/>
        <w:rPr>
          <w:b/>
          <w:sz w:val="28"/>
          <w:szCs w:val="20"/>
        </w:rPr>
      </w:pPr>
    </w:p>
    <w:p w14:paraId="660BDB0E" w14:textId="77777777" w:rsidR="00D8717F" w:rsidRPr="00D8717F" w:rsidRDefault="00D8717F" w:rsidP="003C7A42">
      <w:pPr>
        <w:jc w:val="center"/>
        <w:rPr>
          <w:b/>
          <w:sz w:val="28"/>
          <w:szCs w:val="20"/>
        </w:rPr>
      </w:pPr>
    </w:p>
    <w:p w14:paraId="6FDF9CE6" w14:textId="77777777" w:rsidR="003C7A42" w:rsidRPr="00D8717F" w:rsidRDefault="003C7A42" w:rsidP="003C7A42">
      <w:pPr>
        <w:jc w:val="center"/>
        <w:rPr>
          <w:sz w:val="24"/>
        </w:rPr>
      </w:pPr>
      <w:proofErr w:type="spellStart"/>
      <w:r w:rsidRPr="003C7A42">
        <w:rPr>
          <w:sz w:val="24"/>
        </w:rPr>
        <w:t>Kamarul</w:t>
      </w:r>
      <w:proofErr w:type="spellEnd"/>
      <w:r w:rsidRPr="003C7A42">
        <w:rPr>
          <w:sz w:val="24"/>
        </w:rPr>
        <w:t xml:space="preserve"> Bahrain Abdul-Manaf</w:t>
      </w:r>
      <w:r w:rsidRPr="003C7A42">
        <w:rPr>
          <w:sz w:val="24"/>
          <w:vertAlign w:val="superscript"/>
        </w:rPr>
        <w:t>1</w:t>
      </w:r>
      <w:r w:rsidRPr="003C7A42">
        <w:rPr>
          <w:sz w:val="24"/>
        </w:rPr>
        <w:t xml:space="preserve">, </w:t>
      </w:r>
      <w:proofErr w:type="spellStart"/>
      <w:r w:rsidRPr="003C7A42">
        <w:rPr>
          <w:sz w:val="24"/>
        </w:rPr>
        <w:t>Rokiah</w:t>
      </w:r>
      <w:proofErr w:type="spellEnd"/>
      <w:r w:rsidRPr="003C7A42">
        <w:rPr>
          <w:sz w:val="24"/>
        </w:rPr>
        <w:t xml:space="preserve"> Ishak</w:t>
      </w:r>
      <w:r w:rsidR="00D8717F">
        <w:rPr>
          <w:sz w:val="24"/>
          <w:vertAlign w:val="superscript"/>
        </w:rPr>
        <w:t>2</w:t>
      </w:r>
      <w:r w:rsidR="00D8717F">
        <w:rPr>
          <w:sz w:val="24"/>
        </w:rPr>
        <w:t xml:space="preserve">, </w:t>
      </w:r>
      <w:r w:rsidR="00D8717F" w:rsidRPr="003C7A42">
        <w:rPr>
          <w:sz w:val="24"/>
        </w:rPr>
        <w:t xml:space="preserve">Noor </w:t>
      </w:r>
      <w:proofErr w:type="spellStart"/>
      <w:r w:rsidR="00D8717F" w:rsidRPr="003C7A42">
        <w:rPr>
          <w:sz w:val="24"/>
        </w:rPr>
        <w:t>Afza</w:t>
      </w:r>
      <w:proofErr w:type="spellEnd"/>
      <w:r w:rsidR="00D8717F" w:rsidRPr="003C7A42">
        <w:rPr>
          <w:sz w:val="24"/>
        </w:rPr>
        <w:t xml:space="preserve"> Amran</w:t>
      </w:r>
      <w:r w:rsidR="00D8717F">
        <w:rPr>
          <w:sz w:val="24"/>
          <w:vertAlign w:val="superscript"/>
        </w:rPr>
        <w:t>3</w:t>
      </w:r>
    </w:p>
    <w:p w14:paraId="70930436" w14:textId="77777777" w:rsidR="00FB363C" w:rsidRPr="003C7A42" w:rsidRDefault="003C7A42" w:rsidP="003C7A42">
      <w:pPr>
        <w:tabs>
          <w:tab w:val="left" w:pos="5126"/>
        </w:tabs>
        <w:jc w:val="center"/>
        <w:rPr>
          <w:sz w:val="24"/>
        </w:rPr>
      </w:pPr>
      <w:r w:rsidRPr="003C7A42">
        <w:rPr>
          <w:sz w:val="24"/>
          <w:vertAlign w:val="superscript"/>
        </w:rPr>
        <w:t>123</w:t>
      </w:r>
      <w:r w:rsidRPr="003C7A42">
        <w:rPr>
          <w:sz w:val="24"/>
        </w:rPr>
        <w:t xml:space="preserve"> School of Accountancy, </w:t>
      </w:r>
      <w:proofErr w:type="spellStart"/>
      <w:r w:rsidRPr="003C7A42">
        <w:rPr>
          <w:sz w:val="24"/>
        </w:rPr>
        <w:t>Universiti</w:t>
      </w:r>
      <w:proofErr w:type="spellEnd"/>
      <w:r w:rsidRPr="003C7A42">
        <w:rPr>
          <w:sz w:val="24"/>
        </w:rPr>
        <w:t xml:space="preserve"> Utara Malaysia, 06010, </w:t>
      </w:r>
      <w:proofErr w:type="spellStart"/>
      <w:r w:rsidRPr="003C7A42">
        <w:rPr>
          <w:sz w:val="24"/>
        </w:rPr>
        <w:t>Sintok</w:t>
      </w:r>
      <w:proofErr w:type="spellEnd"/>
      <w:r w:rsidRPr="003C7A42">
        <w:rPr>
          <w:sz w:val="24"/>
        </w:rPr>
        <w:t>, Kedah, Malaysia</w:t>
      </w:r>
    </w:p>
    <w:p w14:paraId="531571BE" w14:textId="77777777" w:rsidR="00E77939" w:rsidRPr="00012FBF" w:rsidRDefault="00E77939" w:rsidP="003C7A42">
      <w:pPr>
        <w:rPr>
          <w:sz w:val="20"/>
          <w:szCs w:val="20"/>
        </w:rPr>
      </w:pPr>
    </w:p>
    <w:p w14:paraId="78B9760A" w14:textId="77777777" w:rsidR="00E77939" w:rsidRPr="00012FBF" w:rsidRDefault="00E77939" w:rsidP="003C7A42">
      <w:pPr>
        <w:tabs>
          <w:tab w:val="left" w:pos="5126"/>
        </w:tabs>
        <w:rPr>
          <w:sz w:val="20"/>
          <w:szCs w:val="20"/>
        </w:rPr>
      </w:pPr>
    </w:p>
    <w:p w14:paraId="7DF24CAC" w14:textId="77777777" w:rsidR="00E77939" w:rsidRPr="00B8097E" w:rsidRDefault="003C7A42" w:rsidP="003C7A42">
      <w:pPr>
        <w:tabs>
          <w:tab w:val="left" w:pos="5126"/>
        </w:tabs>
        <w:jc w:val="center"/>
        <w:rPr>
          <w:b/>
          <w:sz w:val="24"/>
        </w:rPr>
      </w:pPr>
      <w:r w:rsidRPr="00B8097E">
        <w:rPr>
          <w:b/>
          <w:sz w:val="24"/>
        </w:rPr>
        <w:t>ABSTRACT</w:t>
      </w:r>
    </w:p>
    <w:p w14:paraId="53746A2E" w14:textId="77777777" w:rsidR="00060D6E" w:rsidRDefault="00060D6E" w:rsidP="003C7A42">
      <w:pPr>
        <w:tabs>
          <w:tab w:val="left" w:pos="5126"/>
        </w:tabs>
        <w:rPr>
          <w:b/>
          <w:sz w:val="24"/>
        </w:rPr>
      </w:pPr>
    </w:p>
    <w:p w14:paraId="341A3EC1" w14:textId="77777777" w:rsidR="00B8097E" w:rsidRPr="00B8097E" w:rsidRDefault="00B8097E" w:rsidP="003C7A42">
      <w:pPr>
        <w:tabs>
          <w:tab w:val="left" w:pos="5126"/>
        </w:tabs>
        <w:rPr>
          <w:b/>
          <w:sz w:val="24"/>
        </w:rPr>
      </w:pPr>
    </w:p>
    <w:p w14:paraId="6DE635FF" w14:textId="77777777" w:rsidR="00E77939" w:rsidRPr="00B8097E" w:rsidRDefault="00BA062D" w:rsidP="003C7A42">
      <w:pPr>
        <w:tabs>
          <w:tab w:val="left" w:pos="5126"/>
        </w:tabs>
        <w:rPr>
          <w:sz w:val="24"/>
        </w:rPr>
      </w:pPr>
      <w:r w:rsidRPr="00B8097E">
        <w:rPr>
          <w:sz w:val="24"/>
        </w:rPr>
        <w:t xml:space="preserve">Whether audit committee (AC) could discharge its responsibility effectively in monitoring financial reporting process has been an important issue in accounting literature. </w:t>
      </w:r>
      <w:r w:rsidR="003B4BD1" w:rsidRPr="00B8097E">
        <w:rPr>
          <w:sz w:val="24"/>
        </w:rPr>
        <w:t xml:space="preserve">This paper examines </w:t>
      </w:r>
      <w:r w:rsidRPr="00B8097E">
        <w:rPr>
          <w:sz w:val="24"/>
        </w:rPr>
        <w:t>whether AC characteristics a</w:t>
      </w:r>
      <w:r w:rsidR="003E4D8B" w:rsidRPr="00B8097E">
        <w:rPr>
          <w:sz w:val="24"/>
        </w:rPr>
        <w:t xml:space="preserve">re important factors in </w:t>
      </w:r>
      <w:r w:rsidR="00B303B9" w:rsidRPr="00B8097E">
        <w:rPr>
          <w:sz w:val="24"/>
        </w:rPr>
        <w:t>constraining</w:t>
      </w:r>
      <w:r w:rsidRPr="00B8097E">
        <w:rPr>
          <w:sz w:val="24"/>
        </w:rPr>
        <w:t xml:space="preserve"> earnings manipulation. In particular, we examine </w:t>
      </w:r>
      <w:r w:rsidR="003B4BD1" w:rsidRPr="00B8097E">
        <w:rPr>
          <w:sz w:val="24"/>
        </w:rPr>
        <w:t>t</w:t>
      </w:r>
      <w:r w:rsidR="00060D6E" w:rsidRPr="00B8097E">
        <w:rPr>
          <w:sz w:val="24"/>
        </w:rPr>
        <w:t xml:space="preserve">he effect of </w:t>
      </w:r>
      <w:r w:rsidR="00B303B9" w:rsidRPr="00B8097E">
        <w:rPr>
          <w:sz w:val="24"/>
        </w:rPr>
        <w:t>AC c</w:t>
      </w:r>
      <w:r w:rsidR="000D5B37" w:rsidRPr="00B8097E">
        <w:rPr>
          <w:sz w:val="24"/>
        </w:rPr>
        <w:t>ompetence,</w:t>
      </w:r>
      <w:r w:rsidR="00150A96" w:rsidRPr="00B8097E">
        <w:rPr>
          <w:sz w:val="24"/>
        </w:rPr>
        <w:t xml:space="preserve"> independence,</w:t>
      </w:r>
      <w:r w:rsidR="00B303B9" w:rsidRPr="00B8097E">
        <w:rPr>
          <w:sz w:val="24"/>
        </w:rPr>
        <w:t xml:space="preserve"> </w:t>
      </w:r>
      <w:r w:rsidR="00060D6E" w:rsidRPr="00B8097E">
        <w:rPr>
          <w:sz w:val="24"/>
        </w:rPr>
        <w:t>meeting</w:t>
      </w:r>
      <w:r w:rsidR="000D5B37" w:rsidRPr="00B8097E">
        <w:rPr>
          <w:sz w:val="24"/>
        </w:rPr>
        <w:t xml:space="preserve"> and </w:t>
      </w:r>
      <w:r w:rsidR="00150A96" w:rsidRPr="00B8097E">
        <w:rPr>
          <w:sz w:val="24"/>
        </w:rPr>
        <w:t>size</w:t>
      </w:r>
      <w:r w:rsidR="00B303B9" w:rsidRPr="00B8097E">
        <w:rPr>
          <w:sz w:val="24"/>
        </w:rPr>
        <w:t xml:space="preserve"> </w:t>
      </w:r>
      <w:r w:rsidR="003B4BD1" w:rsidRPr="00B8097E">
        <w:rPr>
          <w:sz w:val="24"/>
        </w:rPr>
        <w:t>on real earnings management.</w:t>
      </w:r>
      <w:r w:rsidR="002E640E" w:rsidRPr="00B8097E">
        <w:rPr>
          <w:sz w:val="24"/>
        </w:rPr>
        <w:t xml:space="preserve"> The sample is public firms listed on Bursa Ma</w:t>
      </w:r>
      <w:r w:rsidR="005B32AC">
        <w:rPr>
          <w:sz w:val="24"/>
        </w:rPr>
        <w:t>laysia over the period 2014-2017</w:t>
      </w:r>
      <w:r w:rsidR="002E640E" w:rsidRPr="00B8097E">
        <w:rPr>
          <w:sz w:val="24"/>
        </w:rPr>
        <w:t>.</w:t>
      </w:r>
      <w:r w:rsidR="00060D6E" w:rsidRPr="00B8097E">
        <w:rPr>
          <w:sz w:val="24"/>
        </w:rPr>
        <w:t xml:space="preserve"> Our results show that AC competence is important characteristic</w:t>
      </w:r>
      <w:r w:rsidR="0082333D" w:rsidRPr="00B8097E">
        <w:rPr>
          <w:sz w:val="24"/>
        </w:rPr>
        <w:t xml:space="preserve"> that could curb </w:t>
      </w:r>
      <w:r w:rsidR="00CA1E33" w:rsidRPr="00B8097E">
        <w:rPr>
          <w:sz w:val="24"/>
        </w:rPr>
        <w:t xml:space="preserve">real </w:t>
      </w:r>
      <w:r w:rsidR="0082333D" w:rsidRPr="00B8097E">
        <w:rPr>
          <w:sz w:val="24"/>
        </w:rPr>
        <w:t>earnings</w:t>
      </w:r>
      <w:r w:rsidR="00060D6E" w:rsidRPr="00B8097E">
        <w:rPr>
          <w:sz w:val="24"/>
        </w:rPr>
        <w:t xml:space="preserve"> m</w:t>
      </w:r>
      <w:r w:rsidR="00CA1E33" w:rsidRPr="00B8097E">
        <w:rPr>
          <w:sz w:val="24"/>
        </w:rPr>
        <w:t>anagement</w:t>
      </w:r>
      <w:r w:rsidR="00060D6E" w:rsidRPr="00B8097E">
        <w:rPr>
          <w:sz w:val="24"/>
        </w:rPr>
        <w:t xml:space="preserve">. </w:t>
      </w:r>
      <w:r w:rsidR="000D5B37" w:rsidRPr="00B8097E">
        <w:rPr>
          <w:sz w:val="24"/>
        </w:rPr>
        <w:t xml:space="preserve">As the level of </w:t>
      </w:r>
      <w:r w:rsidR="00060D6E" w:rsidRPr="00B8097E">
        <w:rPr>
          <w:sz w:val="24"/>
        </w:rPr>
        <w:t xml:space="preserve">competence increases, the level of </w:t>
      </w:r>
      <w:r w:rsidR="001D42C0" w:rsidRPr="00B8097E">
        <w:rPr>
          <w:sz w:val="24"/>
        </w:rPr>
        <w:t xml:space="preserve">real </w:t>
      </w:r>
      <w:r w:rsidR="00060D6E" w:rsidRPr="00B8097E">
        <w:rPr>
          <w:sz w:val="24"/>
        </w:rPr>
        <w:t>earnings management decreases. We also find that AC meeting is positively associated with real earnings management. The result suggest that AC meets m</w:t>
      </w:r>
      <w:r w:rsidR="006D1733" w:rsidRPr="00B8097E">
        <w:rPr>
          <w:sz w:val="24"/>
        </w:rPr>
        <w:t>ore often when there are issue</w:t>
      </w:r>
      <w:r w:rsidR="00060D6E" w:rsidRPr="00B8097E">
        <w:rPr>
          <w:sz w:val="24"/>
        </w:rPr>
        <w:t xml:space="preserve">s in financial reporting. However, AC independence </w:t>
      </w:r>
      <w:r w:rsidR="000D5B37" w:rsidRPr="00B8097E">
        <w:rPr>
          <w:sz w:val="24"/>
        </w:rPr>
        <w:t xml:space="preserve">and </w:t>
      </w:r>
      <w:r w:rsidR="00F27FD7" w:rsidRPr="00B8097E">
        <w:rPr>
          <w:sz w:val="24"/>
        </w:rPr>
        <w:t>size have</w:t>
      </w:r>
      <w:r w:rsidR="00060D6E" w:rsidRPr="00B8097E">
        <w:rPr>
          <w:sz w:val="24"/>
        </w:rPr>
        <w:t xml:space="preserve"> no relationship with real earnings management.</w:t>
      </w:r>
      <w:r w:rsidR="003E4D8B" w:rsidRPr="00B8097E">
        <w:rPr>
          <w:sz w:val="24"/>
        </w:rPr>
        <w:t xml:space="preserve"> This study provides insights on the role of AC with policy implication on regulator. </w:t>
      </w:r>
    </w:p>
    <w:p w14:paraId="33B26735" w14:textId="77777777" w:rsidR="00427ACC" w:rsidRPr="00B8097E" w:rsidRDefault="00427ACC" w:rsidP="003C7A42">
      <w:pPr>
        <w:tabs>
          <w:tab w:val="left" w:pos="5126"/>
        </w:tabs>
        <w:rPr>
          <w:sz w:val="24"/>
        </w:rPr>
      </w:pPr>
    </w:p>
    <w:p w14:paraId="5E2E2190" w14:textId="77777777" w:rsidR="00427ACC" w:rsidRPr="00B8097E" w:rsidRDefault="00427ACC" w:rsidP="003C7A42">
      <w:pPr>
        <w:pStyle w:val="Keywords"/>
        <w:ind w:left="0" w:firstLine="0"/>
        <w:contextualSpacing/>
        <w:outlineLvl w:val="0"/>
        <w:rPr>
          <w:i/>
          <w:sz w:val="24"/>
          <w:szCs w:val="24"/>
          <w:lang w:val="en-GB"/>
        </w:rPr>
      </w:pPr>
      <w:r w:rsidRPr="00B8097E">
        <w:rPr>
          <w:b/>
          <w:sz w:val="24"/>
          <w:szCs w:val="24"/>
          <w:lang w:val="en-GB"/>
        </w:rPr>
        <w:t>Keywords:</w:t>
      </w:r>
      <w:r w:rsidRPr="00B8097E">
        <w:rPr>
          <w:sz w:val="24"/>
          <w:szCs w:val="24"/>
          <w:lang w:val="en-GB"/>
        </w:rPr>
        <w:t xml:space="preserve"> Real earnings management, audit committee, Malaysia</w:t>
      </w:r>
    </w:p>
    <w:p w14:paraId="2ACA6BD4" w14:textId="77777777" w:rsidR="003C7A42" w:rsidRPr="00B8097E" w:rsidRDefault="003C7A42" w:rsidP="003C7A42">
      <w:pPr>
        <w:rPr>
          <w:b/>
          <w:sz w:val="24"/>
        </w:rPr>
      </w:pPr>
    </w:p>
    <w:p w14:paraId="329767AD" w14:textId="77777777" w:rsidR="003C7A42" w:rsidRPr="00B8097E" w:rsidRDefault="003C7A42" w:rsidP="003C7A42">
      <w:pPr>
        <w:rPr>
          <w:b/>
          <w:sz w:val="24"/>
        </w:rPr>
      </w:pPr>
    </w:p>
    <w:p w14:paraId="75713282" w14:textId="77777777" w:rsidR="00E77939" w:rsidRPr="00B8097E" w:rsidRDefault="00E77939" w:rsidP="003C7A42">
      <w:pPr>
        <w:jc w:val="center"/>
        <w:rPr>
          <w:b/>
          <w:sz w:val="24"/>
        </w:rPr>
      </w:pPr>
      <w:r w:rsidRPr="00B8097E">
        <w:rPr>
          <w:b/>
          <w:sz w:val="24"/>
        </w:rPr>
        <w:t>INTRODUCTION</w:t>
      </w:r>
    </w:p>
    <w:p w14:paraId="12AB9D31" w14:textId="77777777" w:rsidR="00E77939" w:rsidRPr="00B8097E" w:rsidRDefault="00E77939" w:rsidP="003C7A42">
      <w:pPr>
        <w:rPr>
          <w:sz w:val="24"/>
        </w:rPr>
      </w:pPr>
    </w:p>
    <w:p w14:paraId="5CBA0CEF" w14:textId="77777777" w:rsidR="003C7A42" w:rsidRPr="00B8097E" w:rsidRDefault="003C7A42" w:rsidP="003C7A42">
      <w:pPr>
        <w:rPr>
          <w:sz w:val="24"/>
        </w:rPr>
      </w:pPr>
    </w:p>
    <w:p w14:paraId="688F0623" w14:textId="77777777" w:rsidR="00FB363C" w:rsidRPr="00B8097E" w:rsidRDefault="00FB363C" w:rsidP="003C7A42">
      <w:pPr>
        <w:rPr>
          <w:sz w:val="24"/>
        </w:rPr>
      </w:pPr>
      <w:r w:rsidRPr="00B8097E">
        <w:rPr>
          <w:sz w:val="24"/>
        </w:rPr>
        <w:t>Many studies have tried to establish evidence as to the relationship between board characteristics and financial reporting quality. Earnings management is among the measures used in the studies as a proxy for financial reporting quality. Earnings management can be defined as the use of judgment by the management in the process of preparing financial report with the intention to mislead users of financial information with regard to firm actual economic performance</w:t>
      </w:r>
      <w:r w:rsidR="00830B7E" w:rsidRPr="00B8097E">
        <w:rPr>
          <w:sz w:val="24"/>
        </w:rPr>
        <w:t xml:space="preserve"> (Healy &amp; </w:t>
      </w:r>
      <w:proofErr w:type="spellStart"/>
      <w:r w:rsidR="00830B7E" w:rsidRPr="00B8097E">
        <w:rPr>
          <w:sz w:val="24"/>
        </w:rPr>
        <w:t>Wahlen</w:t>
      </w:r>
      <w:proofErr w:type="spellEnd"/>
      <w:r w:rsidR="00830B7E" w:rsidRPr="00B8097E">
        <w:rPr>
          <w:sz w:val="24"/>
        </w:rPr>
        <w:t>, 1999)</w:t>
      </w:r>
      <w:r w:rsidRPr="00B8097E">
        <w:rPr>
          <w:sz w:val="24"/>
        </w:rPr>
        <w:t xml:space="preserve">. </w:t>
      </w:r>
    </w:p>
    <w:p w14:paraId="51EB5A56" w14:textId="77777777" w:rsidR="00830B7E" w:rsidRPr="00B8097E" w:rsidRDefault="00830B7E" w:rsidP="003C7A42">
      <w:pPr>
        <w:rPr>
          <w:sz w:val="24"/>
        </w:rPr>
      </w:pPr>
    </w:p>
    <w:p w14:paraId="4CF5651E" w14:textId="77777777" w:rsidR="003C7A42" w:rsidRPr="00B8097E" w:rsidRDefault="003C7A42" w:rsidP="003C7A42">
      <w:pPr>
        <w:rPr>
          <w:sz w:val="24"/>
        </w:rPr>
      </w:pPr>
    </w:p>
    <w:p w14:paraId="7D34FB7F" w14:textId="77777777" w:rsidR="00DA5B6C" w:rsidRPr="00B8097E" w:rsidRDefault="00830B7E" w:rsidP="00B8097E">
      <w:pPr>
        <w:pStyle w:val="FootnoteText"/>
        <w:ind w:firstLine="720"/>
        <w:rPr>
          <w:sz w:val="24"/>
          <w:szCs w:val="24"/>
          <w:lang w:val="en-MY"/>
        </w:rPr>
      </w:pPr>
      <w:r w:rsidRPr="00B8097E">
        <w:rPr>
          <w:sz w:val="24"/>
          <w:szCs w:val="24"/>
        </w:rPr>
        <w:t>Malaysia issued its C</w:t>
      </w:r>
      <w:r w:rsidR="00C84D91" w:rsidRPr="00B8097E">
        <w:rPr>
          <w:sz w:val="24"/>
          <w:szCs w:val="24"/>
        </w:rPr>
        <w:t>ode on Corporate Governance</w:t>
      </w:r>
      <w:r w:rsidRPr="00B8097E">
        <w:rPr>
          <w:sz w:val="24"/>
          <w:szCs w:val="24"/>
        </w:rPr>
        <w:t xml:space="preserve"> in 2000. The objective is to provide public listed firms with </w:t>
      </w:r>
      <w:r w:rsidRPr="00B8097E">
        <w:rPr>
          <w:rFonts w:eastAsia="Calibri"/>
          <w:sz w:val="24"/>
          <w:szCs w:val="24"/>
        </w:rPr>
        <w:t>the principles and best practices of good governance. In addition, it provides guidelines for optimal corporate governance structures and internal processes.</w:t>
      </w:r>
      <w:r w:rsidRPr="00B8097E">
        <w:rPr>
          <w:sz w:val="24"/>
          <w:szCs w:val="24"/>
        </w:rPr>
        <w:t xml:space="preserve"> The compliance with the Code is mandatory for all public listed firms to enable the </w:t>
      </w:r>
      <w:r w:rsidRPr="00B8097E">
        <w:rPr>
          <w:rFonts w:eastAsia="Calibri"/>
          <w:sz w:val="24"/>
          <w:szCs w:val="24"/>
        </w:rPr>
        <w:t xml:space="preserve">shareholders and the public to assess and determine the standards of corporate governance. </w:t>
      </w:r>
      <w:r w:rsidRPr="00B8097E">
        <w:rPr>
          <w:sz w:val="24"/>
          <w:szCs w:val="24"/>
        </w:rPr>
        <w:t>In 2007, a revision of the Code was issued as an effort to strengthen corporate governance practices by improving the quality of board of directors. It is to ensure that the board of directors discharge their roles and responsibilities effectively.</w:t>
      </w:r>
      <w:r w:rsidR="00307B43" w:rsidRPr="00B8097E">
        <w:rPr>
          <w:sz w:val="24"/>
          <w:szCs w:val="24"/>
        </w:rPr>
        <w:t xml:space="preserve"> </w:t>
      </w:r>
      <w:r w:rsidR="00C84D91" w:rsidRPr="00B8097E">
        <w:rPr>
          <w:sz w:val="24"/>
          <w:szCs w:val="24"/>
        </w:rPr>
        <w:t>Subsequently, the C</w:t>
      </w:r>
      <w:r w:rsidR="006F42F5" w:rsidRPr="00B8097E">
        <w:rPr>
          <w:sz w:val="24"/>
          <w:szCs w:val="24"/>
        </w:rPr>
        <w:t>ode was again revised in 2012</w:t>
      </w:r>
      <w:r w:rsidR="001A5521" w:rsidRPr="00B8097E">
        <w:rPr>
          <w:sz w:val="24"/>
          <w:szCs w:val="24"/>
        </w:rPr>
        <w:t xml:space="preserve"> to uphold financial reporting integrity through strengthening board structure and composition</w:t>
      </w:r>
      <w:r w:rsidR="00C84D91" w:rsidRPr="00B8097E">
        <w:rPr>
          <w:sz w:val="24"/>
          <w:szCs w:val="24"/>
        </w:rPr>
        <w:t>. The C</w:t>
      </w:r>
      <w:r w:rsidR="00DA5B6C" w:rsidRPr="00B8097E">
        <w:rPr>
          <w:sz w:val="24"/>
          <w:szCs w:val="24"/>
        </w:rPr>
        <w:t>ode was again revised in 2017 to ensure it remains relevant.</w:t>
      </w:r>
    </w:p>
    <w:p w14:paraId="74A141E7" w14:textId="77777777" w:rsidR="001A5521" w:rsidRPr="00B8097E" w:rsidRDefault="00DA5B6C" w:rsidP="003C7A42">
      <w:pPr>
        <w:pStyle w:val="BodyText3"/>
        <w:autoSpaceDE w:val="0"/>
        <w:autoSpaceDN w:val="0"/>
        <w:adjustRightInd w:val="0"/>
        <w:jc w:val="both"/>
        <w:rPr>
          <w:rFonts w:ascii="Times New Roman" w:hAnsi="Times New Roman"/>
          <w:sz w:val="24"/>
          <w:szCs w:val="24"/>
        </w:rPr>
      </w:pPr>
      <w:r w:rsidRPr="00B8097E">
        <w:rPr>
          <w:rFonts w:ascii="Times New Roman" w:hAnsi="Times New Roman"/>
          <w:sz w:val="24"/>
          <w:szCs w:val="24"/>
        </w:rPr>
        <w:lastRenderedPageBreak/>
        <w:t xml:space="preserve">It </w:t>
      </w:r>
      <w:r w:rsidR="00FA11E9" w:rsidRPr="00B8097E">
        <w:rPr>
          <w:rFonts w:ascii="Times New Roman" w:hAnsi="Times New Roman"/>
          <w:sz w:val="24"/>
          <w:szCs w:val="24"/>
        </w:rPr>
        <w:t>specifies</w:t>
      </w:r>
      <w:r w:rsidR="001A5521" w:rsidRPr="00B8097E">
        <w:rPr>
          <w:rFonts w:ascii="Times New Roman" w:hAnsi="Times New Roman"/>
          <w:sz w:val="24"/>
          <w:szCs w:val="24"/>
        </w:rPr>
        <w:t xml:space="preserve"> the importance of the establishment of audit committee (AC), the expertise and the independence of AC members.</w:t>
      </w:r>
    </w:p>
    <w:p w14:paraId="696A240A" w14:textId="77777777" w:rsidR="001A5521" w:rsidRPr="00B8097E" w:rsidRDefault="001A5521" w:rsidP="003C7A42">
      <w:pPr>
        <w:pStyle w:val="BodyText3"/>
        <w:autoSpaceDE w:val="0"/>
        <w:autoSpaceDN w:val="0"/>
        <w:adjustRightInd w:val="0"/>
        <w:jc w:val="both"/>
        <w:rPr>
          <w:rFonts w:ascii="Times New Roman" w:hAnsi="Times New Roman"/>
          <w:sz w:val="24"/>
          <w:szCs w:val="24"/>
        </w:rPr>
      </w:pPr>
    </w:p>
    <w:p w14:paraId="27F58DD8" w14:textId="77777777" w:rsidR="0069624B" w:rsidRPr="00B8097E" w:rsidRDefault="001A5521" w:rsidP="00B8097E">
      <w:pPr>
        <w:pStyle w:val="BodyText3"/>
        <w:autoSpaceDE w:val="0"/>
        <w:autoSpaceDN w:val="0"/>
        <w:adjustRightInd w:val="0"/>
        <w:ind w:firstLine="720"/>
        <w:jc w:val="both"/>
        <w:rPr>
          <w:sz w:val="24"/>
          <w:szCs w:val="24"/>
        </w:rPr>
      </w:pPr>
      <w:r w:rsidRPr="00B8097E">
        <w:rPr>
          <w:rFonts w:ascii="Times New Roman" w:hAnsi="Times New Roman"/>
          <w:sz w:val="24"/>
          <w:szCs w:val="24"/>
        </w:rPr>
        <w:t>AC</w:t>
      </w:r>
      <w:r w:rsidR="006F42F5" w:rsidRPr="00B8097E">
        <w:rPr>
          <w:rFonts w:ascii="Times New Roman" w:hAnsi="Times New Roman"/>
          <w:sz w:val="24"/>
          <w:szCs w:val="24"/>
        </w:rPr>
        <w:t xml:space="preserve">, </w:t>
      </w:r>
      <w:r w:rsidR="00307B43" w:rsidRPr="00B8097E">
        <w:rPr>
          <w:rFonts w:ascii="Times New Roman" w:hAnsi="Times New Roman"/>
          <w:sz w:val="24"/>
          <w:szCs w:val="24"/>
        </w:rPr>
        <w:t>a sub-committee of the board of director</w:t>
      </w:r>
      <w:r w:rsidR="006F42F5" w:rsidRPr="00B8097E">
        <w:rPr>
          <w:rFonts w:ascii="Times New Roman" w:hAnsi="Times New Roman"/>
          <w:sz w:val="24"/>
          <w:szCs w:val="24"/>
        </w:rPr>
        <w:t xml:space="preserve">, is entrusted </w:t>
      </w:r>
      <w:r w:rsidR="00307B43" w:rsidRPr="00B8097E">
        <w:rPr>
          <w:rFonts w:ascii="Times New Roman" w:hAnsi="Times New Roman"/>
          <w:sz w:val="24"/>
          <w:szCs w:val="24"/>
        </w:rPr>
        <w:t>with the responsibility to safeguard the integrity of financial reporting.</w:t>
      </w:r>
      <w:r w:rsidR="006F42F5" w:rsidRPr="00B8097E">
        <w:rPr>
          <w:rFonts w:ascii="Times New Roman" w:hAnsi="Times New Roman"/>
          <w:sz w:val="24"/>
          <w:szCs w:val="24"/>
        </w:rPr>
        <w:t xml:space="preserve"> It is necessary for the AC to be transparent, focus and independent in order to oversee the financial reporting process. This can only be achieved when the AC </w:t>
      </w:r>
      <w:r w:rsidR="00AF62C9" w:rsidRPr="00B8097E">
        <w:rPr>
          <w:rFonts w:ascii="Times New Roman" w:hAnsi="Times New Roman"/>
          <w:sz w:val="24"/>
          <w:szCs w:val="24"/>
        </w:rPr>
        <w:t xml:space="preserve">possess high quality characteristics.  In accounting literature, AC characteristics </w:t>
      </w:r>
      <w:r w:rsidR="0069624B" w:rsidRPr="00B8097E">
        <w:rPr>
          <w:rFonts w:ascii="Times New Roman" w:hAnsi="Times New Roman"/>
          <w:sz w:val="24"/>
          <w:szCs w:val="24"/>
        </w:rPr>
        <w:t>have been the important subject</w:t>
      </w:r>
      <w:r w:rsidR="00AF62C9" w:rsidRPr="00B8097E">
        <w:rPr>
          <w:rFonts w:ascii="Times New Roman" w:hAnsi="Times New Roman"/>
          <w:sz w:val="24"/>
          <w:szCs w:val="24"/>
        </w:rPr>
        <w:t xml:space="preserve"> of many studies</w:t>
      </w:r>
      <w:r w:rsidR="0069624B" w:rsidRPr="00B8097E">
        <w:rPr>
          <w:rFonts w:ascii="Times New Roman" w:hAnsi="Times New Roman"/>
          <w:sz w:val="24"/>
          <w:szCs w:val="24"/>
        </w:rPr>
        <w:t>. Abbott e</w:t>
      </w:r>
      <w:r w:rsidR="00341A60" w:rsidRPr="00B8097E">
        <w:rPr>
          <w:rFonts w:ascii="Times New Roman" w:hAnsi="Times New Roman"/>
          <w:sz w:val="24"/>
          <w:szCs w:val="24"/>
        </w:rPr>
        <w:t xml:space="preserve">t al. (2003), </w:t>
      </w:r>
      <w:proofErr w:type="spellStart"/>
      <w:r w:rsidR="00341A60" w:rsidRPr="00B8097E">
        <w:rPr>
          <w:rFonts w:ascii="Times New Roman" w:hAnsi="Times New Roman"/>
          <w:sz w:val="24"/>
          <w:szCs w:val="24"/>
        </w:rPr>
        <w:t>Carcello</w:t>
      </w:r>
      <w:proofErr w:type="spellEnd"/>
      <w:r w:rsidR="00341A60" w:rsidRPr="00B8097E">
        <w:rPr>
          <w:rFonts w:ascii="Times New Roman" w:hAnsi="Times New Roman"/>
          <w:sz w:val="24"/>
          <w:szCs w:val="24"/>
        </w:rPr>
        <w:t xml:space="preserve"> et al. (</w:t>
      </w:r>
      <w:r w:rsidR="0069624B" w:rsidRPr="00B8097E">
        <w:rPr>
          <w:rFonts w:ascii="Times New Roman" w:hAnsi="Times New Roman"/>
          <w:sz w:val="24"/>
          <w:szCs w:val="24"/>
        </w:rPr>
        <w:t xml:space="preserve">2002) and </w:t>
      </w:r>
      <w:proofErr w:type="spellStart"/>
      <w:r w:rsidR="0069624B" w:rsidRPr="00B8097E">
        <w:rPr>
          <w:rFonts w:ascii="Times New Roman" w:hAnsi="Times New Roman"/>
          <w:sz w:val="24"/>
          <w:szCs w:val="24"/>
        </w:rPr>
        <w:t>Lary</w:t>
      </w:r>
      <w:proofErr w:type="spellEnd"/>
      <w:r w:rsidR="0069624B" w:rsidRPr="00B8097E">
        <w:rPr>
          <w:rFonts w:ascii="Times New Roman" w:hAnsi="Times New Roman"/>
          <w:sz w:val="24"/>
          <w:szCs w:val="24"/>
        </w:rPr>
        <w:t xml:space="preserve"> and Taylor (2012) examine the association of AC characteristics with audit related matters. Abbott et al. (2004), </w:t>
      </w:r>
      <w:proofErr w:type="spellStart"/>
      <w:r w:rsidR="0069624B" w:rsidRPr="00B8097E">
        <w:rPr>
          <w:rFonts w:ascii="Times New Roman" w:hAnsi="Times New Roman"/>
          <w:sz w:val="24"/>
          <w:szCs w:val="24"/>
        </w:rPr>
        <w:t>Aier</w:t>
      </w:r>
      <w:proofErr w:type="spellEnd"/>
      <w:r w:rsidR="0069624B" w:rsidRPr="00B8097E">
        <w:rPr>
          <w:rFonts w:ascii="Times New Roman" w:hAnsi="Times New Roman"/>
          <w:sz w:val="24"/>
          <w:szCs w:val="24"/>
        </w:rPr>
        <w:t xml:space="preserve"> et al. (2005), Farber (2005) and Beasley (1996) examine the effect of AC characteristics on the integrity of financial statements.</w:t>
      </w:r>
    </w:p>
    <w:p w14:paraId="124F54C3" w14:textId="77777777" w:rsidR="00830B7E" w:rsidRPr="00B8097E" w:rsidRDefault="0069624B" w:rsidP="003C7A42">
      <w:pPr>
        <w:pStyle w:val="BodyText3"/>
        <w:autoSpaceDE w:val="0"/>
        <w:autoSpaceDN w:val="0"/>
        <w:adjustRightInd w:val="0"/>
        <w:jc w:val="both"/>
        <w:rPr>
          <w:sz w:val="24"/>
          <w:szCs w:val="24"/>
        </w:rPr>
      </w:pPr>
      <w:r w:rsidRPr="00B8097E">
        <w:rPr>
          <w:sz w:val="24"/>
          <w:szCs w:val="24"/>
        </w:rPr>
        <w:t xml:space="preserve"> </w:t>
      </w:r>
    </w:p>
    <w:p w14:paraId="087386A6" w14:textId="77777777" w:rsidR="003C7A42" w:rsidRPr="00B8097E" w:rsidRDefault="003C7A42" w:rsidP="003C7A42">
      <w:pPr>
        <w:pStyle w:val="BodyText3"/>
        <w:autoSpaceDE w:val="0"/>
        <w:autoSpaceDN w:val="0"/>
        <w:adjustRightInd w:val="0"/>
        <w:jc w:val="both"/>
        <w:rPr>
          <w:rFonts w:ascii="Times New Roman" w:hAnsi="Times New Roman"/>
          <w:sz w:val="24"/>
          <w:szCs w:val="24"/>
        </w:rPr>
      </w:pPr>
    </w:p>
    <w:p w14:paraId="53013E8F" w14:textId="77777777" w:rsidR="00DA5B6C" w:rsidRPr="00B8097E" w:rsidRDefault="00830B7E" w:rsidP="00B8097E">
      <w:pPr>
        <w:ind w:firstLine="720"/>
        <w:rPr>
          <w:sz w:val="24"/>
        </w:rPr>
      </w:pPr>
      <w:r w:rsidRPr="00B8097E">
        <w:rPr>
          <w:sz w:val="24"/>
        </w:rPr>
        <w:t xml:space="preserve">In this paper, we </w:t>
      </w:r>
      <w:r w:rsidR="00307B43" w:rsidRPr="00B8097E">
        <w:rPr>
          <w:sz w:val="24"/>
        </w:rPr>
        <w:t xml:space="preserve">extend the literature to </w:t>
      </w:r>
      <w:r w:rsidRPr="00B8097E">
        <w:rPr>
          <w:sz w:val="24"/>
        </w:rPr>
        <w:t xml:space="preserve">examine the effect of </w:t>
      </w:r>
      <w:r w:rsidR="003D6D93" w:rsidRPr="00B8097E">
        <w:rPr>
          <w:sz w:val="24"/>
        </w:rPr>
        <w:t>AC</w:t>
      </w:r>
      <w:r w:rsidRPr="00B8097E">
        <w:rPr>
          <w:sz w:val="24"/>
        </w:rPr>
        <w:t xml:space="preserve"> characteristics on the quality of financial reporting of Malaysian firms. In particular, we examine the effect of </w:t>
      </w:r>
      <w:r w:rsidR="003D6D93" w:rsidRPr="00B8097E">
        <w:rPr>
          <w:sz w:val="24"/>
        </w:rPr>
        <w:t>AC competence</w:t>
      </w:r>
      <w:r w:rsidR="00A62154" w:rsidRPr="00B8097E">
        <w:rPr>
          <w:sz w:val="24"/>
        </w:rPr>
        <w:t xml:space="preserve">, </w:t>
      </w:r>
      <w:r w:rsidR="00150A96" w:rsidRPr="00B8097E">
        <w:rPr>
          <w:sz w:val="24"/>
        </w:rPr>
        <w:t>independence,</w:t>
      </w:r>
      <w:r w:rsidR="000D5B37" w:rsidRPr="00B8097E">
        <w:rPr>
          <w:sz w:val="24"/>
        </w:rPr>
        <w:t xml:space="preserve"> </w:t>
      </w:r>
      <w:r w:rsidR="00056146" w:rsidRPr="00B8097E">
        <w:rPr>
          <w:sz w:val="24"/>
        </w:rPr>
        <w:t xml:space="preserve">meeting </w:t>
      </w:r>
      <w:r w:rsidR="00150A96" w:rsidRPr="00B8097E">
        <w:rPr>
          <w:sz w:val="24"/>
        </w:rPr>
        <w:t xml:space="preserve">and size </w:t>
      </w:r>
      <w:r w:rsidRPr="00B8097E">
        <w:rPr>
          <w:sz w:val="24"/>
        </w:rPr>
        <w:t xml:space="preserve">on </w:t>
      </w:r>
      <w:r w:rsidR="00FA11E9" w:rsidRPr="00B8097E">
        <w:rPr>
          <w:sz w:val="24"/>
        </w:rPr>
        <w:t xml:space="preserve">real earnings management. </w:t>
      </w:r>
      <w:r w:rsidRPr="00B8097E">
        <w:rPr>
          <w:sz w:val="24"/>
        </w:rPr>
        <w:t>Our sample is public firms listed on B</w:t>
      </w:r>
      <w:r w:rsidR="00645659" w:rsidRPr="00B8097E">
        <w:rPr>
          <w:sz w:val="24"/>
        </w:rPr>
        <w:t>ursa Malaysia. The data is 1,178</w:t>
      </w:r>
      <w:r w:rsidRPr="00B8097E">
        <w:rPr>
          <w:sz w:val="24"/>
        </w:rPr>
        <w:t xml:space="preserve"> firm-year observations o</w:t>
      </w:r>
      <w:r w:rsidR="00745442" w:rsidRPr="00B8097E">
        <w:rPr>
          <w:sz w:val="24"/>
        </w:rPr>
        <w:t xml:space="preserve">ver the period </w:t>
      </w:r>
      <w:r w:rsidRPr="00B8097E">
        <w:rPr>
          <w:sz w:val="24"/>
        </w:rPr>
        <w:t>2012</w:t>
      </w:r>
      <w:r w:rsidR="00745442" w:rsidRPr="00B8097E">
        <w:rPr>
          <w:sz w:val="24"/>
        </w:rPr>
        <w:t>-2015.</w:t>
      </w:r>
      <w:r w:rsidRPr="00B8097E">
        <w:rPr>
          <w:sz w:val="24"/>
        </w:rPr>
        <w:t xml:space="preserve"> </w:t>
      </w:r>
    </w:p>
    <w:p w14:paraId="71C9CCE3" w14:textId="77777777" w:rsidR="000D5B37" w:rsidRPr="00B8097E" w:rsidRDefault="000D5B37" w:rsidP="003C7A42">
      <w:pPr>
        <w:rPr>
          <w:sz w:val="24"/>
        </w:rPr>
      </w:pPr>
    </w:p>
    <w:p w14:paraId="65C6119B" w14:textId="77777777" w:rsidR="00DA5B6C" w:rsidRPr="00B8097E" w:rsidRDefault="00DA5B6C" w:rsidP="00B8097E">
      <w:pPr>
        <w:ind w:firstLine="720"/>
        <w:rPr>
          <w:sz w:val="24"/>
        </w:rPr>
      </w:pPr>
      <w:r w:rsidRPr="00B8097E">
        <w:rPr>
          <w:sz w:val="24"/>
        </w:rPr>
        <w:t>The remainder of this paper is organized as follows. The next section describes the literature review and hypothesis development. Section 3 is the research method.  Section 4 presents the results and the final section is the conclusion.</w:t>
      </w:r>
    </w:p>
    <w:p w14:paraId="7A9E4BEF" w14:textId="77777777" w:rsidR="00745442" w:rsidRPr="00B8097E" w:rsidRDefault="00745442" w:rsidP="003C7A42">
      <w:pPr>
        <w:rPr>
          <w:sz w:val="24"/>
        </w:rPr>
      </w:pPr>
    </w:p>
    <w:p w14:paraId="25D40DDB" w14:textId="77777777" w:rsidR="003C7A42" w:rsidRPr="00B8097E" w:rsidRDefault="003C7A42" w:rsidP="003C7A42">
      <w:pPr>
        <w:rPr>
          <w:sz w:val="24"/>
        </w:rPr>
      </w:pPr>
    </w:p>
    <w:p w14:paraId="5324521D" w14:textId="77777777" w:rsidR="00012FBF" w:rsidRPr="00B8097E" w:rsidRDefault="00012FBF" w:rsidP="003C7A42">
      <w:pPr>
        <w:jc w:val="center"/>
        <w:rPr>
          <w:b/>
          <w:sz w:val="24"/>
        </w:rPr>
      </w:pPr>
      <w:r w:rsidRPr="00B8097E">
        <w:rPr>
          <w:b/>
          <w:sz w:val="24"/>
        </w:rPr>
        <w:t>LITERATURE REVIEW</w:t>
      </w:r>
      <w:r w:rsidR="006C361D" w:rsidRPr="00B8097E">
        <w:rPr>
          <w:b/>
          <w:sz w:val="24"/>
        </w:rPr>
        <w:t xml:space="preserve"> AND HYPOTHESIS DEVELOPMENT</w:t>
      </w:r>
    </w:p>
    <w:p w14:paraId="336F0E48" w14:textId="77777777" w:rsidR="003C7A42" w:rsidRPr="00B8097E" w:rsidRDefault="003C7A42" w:rsidP="003C7A42">
      <w:pPr>
        <w:jc w:val="center"/>
        <w:rPr>
          <w:b/>
          <w:sz w:val="24"/>
        </w:rPr>
      </w:pPr>
    </w:p>
    <w:p w14:paraId="4683C1A3" w14:textId="77777777" w:rsidR="003C7A42" w:rsidRPr="00B8097E" w:rsidRDefault="003C7A42" w:rsidP="003C7A42">
      <w:pPr>
        <w:rPr>
          <w:b/>
          <w:sz w:val="24"/>
        </w:rPr>
      </w:pPr>
    </w:p>
    <w:p w14:paraId="47A8701E" w14:textId="77777777" w:rsidR="008B6716" w:rsidRPr="00B8097E" w:rsidRDefault="004F7907" w:rsidP="003C7A42">
      <w:pPr>
        <w:rPr>
          <w:b/>
          <w:sz w:val="24"/>
        </w:rPr>
      </w:pPr>
      <w:r w:rsidRPr="00B8097E">
        <w:rPr>
          <w:b/>
          <w:sz w:val="24"/>
        </w:rPr>
        <w:t xml:space="preserve">Real </w:t>
      </w:r>
      <w:r w:rsidR="008B6716" w:rsidRPr="00B8097E">
        <w:rPr>
          <w:b/>
          <w:sz w:val="24"/>
        </w:rPr>
        <w:t>Earnings Management</w:t>
      </w:r>
    </w:p>
    <w:p w14:paraId="23E209F0" w14:textId="77777777" w:rsidR="008B6716" w:rsidRPr="00B8097E" w:rsidRDefault="008B6716" w:rsidP="003C7A42">
      <w:pPr>
        <w:rPr>
          <w:sz w:val="24"/>
        </w:rPr>
      </w:pPr>
    </w:p>
    <w:p w14:paraId="31A40A44" w14:textId="77777777" w:rsidR="003C7A42" w:rsidRPr="00B8097E" w:rsidRDefault="003C7A42" w:rsidP="003C7A42">
      <w:pPr>
        <w:rPr>
          <w:sz w:val="24"/>
        </w:rPr>
      </w:pPr>
    </w:p>
    <w:p w14:paraId="7D2A9084" w14:textId="77777777" w:rsidR="00C466E2" w:rsidRPr="00B8097E" w:rsidRDefault="008B6716" w:rsidP="003C7A42">
      <w:pPr>
        <w:rPr>
          <w:sz w:val="24"/>
        </w:rPr>
      </w:pPr>
      <w:r w:rsidRPr="00B8097E">
        <w:rPr>
          <w:sz w:val="24"/>
        </w:rPr>
        <w:t>Earnings management is the practice of using judgement and structuring transactions in order to alter financial reports to misrepresent the underlying economic performance</w:t>
      </w:r>
      <w:r w:rsidR="006F1BC1" w:rsidRPr="00B8097E">
        <w:rPr>
          <w:sz w:val="24"/>
        </w:rPr>
        <w:t xml:space="preserve"> (Healy &amp; </w:t>
      </w:r>
      <w:proofErr w:type="spellStart"/>
      <w:r w:rsidR="006F1BC1" w:rsidRPr="00B8097E">
        <w:rPr>
          <w:sz w:val="24"/>
        </w:rPr>
        <w:t>Wahlen</w:t>
      </w:r>
      <w:proofErr w:type="spellEnd"/>
      <w:r w:rsidR="006F1BC1" w:rsidRPr="00B8097E">
        <w:rPr>
          <w:sz w:val="24"/>
        </w:rPr>
        <w:t xml:space="preserve">, 1999). </w:t>
      </w:r>
      <w:r w:rsidR="00B87864" w:rsidRPr="00B8097E">
        <w:rPr>
          <w:sz w:val="24"/>
        </w:rPr>
        <w:t xml:space="preserve">Literature indicates two methods of </w:t>
      </w:r>
      <w:r w:rsidR="006F1BC1" w:rsidRPr="00B8097E">
        <w:rPr>
          <w:sz w:val="24"/>
        </w:rPr>
        <w:t>engaging earnings managemen</w:t>
      </w:r>
      <w:r w:rsidR="007F2E50" w:rsidRPr="00B8097E">
        <w:rPr>
          <w:sz w:val="24"/>
        </w:rPr>
        <w:t>t</w:t>
      </w:r>
      <w:r w:rsidR="00B87864" w:rsidRPr="00B8097E">
        <w:rPr>
          <w:sz w:val="24"/>
        </w:rPr>
        <w:t>. One</w:t>
      </w:r>
      <w:r w:rsidR="00ED144E" w:rsidRPr="00B8097E">
        <w:rPr>
          <w:sz w:val="24"/>
        </w:rPr>
        <w:t xml:space="preserve"> is known as </w:t>
      </w:r>
      <w:r w:rsidR="002457A9" w:rsidRPr="00B8097E">
        <w:rPr>
          <w:sz w:val="24"/>
        </w:rPr>
        <w:t>ac</w:t>
      </w:r>
      <w:r w:rsidR="00ED144E" w:rsidRPr="00B8097E">
        <w:rPr>
          <w:sz w:val="24"/>
        </w:rPr>
        <w:t>crual-based earnings management.</w:t>
      </w:r>
      <w:r w:rsidR="006F1BC1" w:rsidRPr="00B8097E">
        <w:rPr>
          <w:sz w:val="24"/>
        </w:rPr>
        <w:t xml:space="preserve"> </w:t>
      </w:r>
      <w:r w:rsidR="000505CC" w:rsidRPr="00B8097E">
        <w:rPr>
          <w:sz w:val="24"/>
        </w:rPr>
        <w:t xml:space="preserve">Accrual is defined as the difference between earnings and cash flow from operating activities. It can be classified into discretionary and non-discretionary. Discretionary accruals are non-obligatory expenses that managers can choose to adjust cash flows. Non-discretionary accruals are accounting adjustment to affect cash flows as mandated by accounting regulation. </w:t>
      </w:r>
    </w:p>
    <w:p w14:paraId="64F71289" w14:textId="77777777" w:rsidR="00C466E2" w:rsidRPr="00B8097E" w:rsidRDefault="00C466E2" w:rsidP="003C7A42">
      <w:pPr>
        <w:rPr>
          <w:sz w:val="24"/>
        </w:rPr>
      </w:pPr>
    </w:p>
    <w:p w14:paraId="758EF1E6" w14:textId="77777777" w:rsidR="003C7A42" w:rsidRPr="00B8097E" w:rsidRDefault="003C7A42" w:rsidP="003C7A42">
      <w:pPr>
        <w:rPr>
          <w:sz w:val="24"/>
        </w:rPr>
      </w:pPr>
    </w:p>
    <w:p w14:paraId="07E3067C" w14:textId="77777777" w:rsidR="003C7A42" w:rsidRPr="00B8097E" w:rsidRDefault="00B87864" w:rsidP="00B8097E">
      <w:pPr>
        <w:ind w:firstLine="720"/>
        <w:rPr>
          <w:sz w:val="24"/>
        </w:rPr>
      </w:pPr>
      <w:r w:rsidRPr="00B8097E">
        <w:rPr>
          <w:sz w:val="24"/>
        </w:rPr>
        <w:t>Second</w:t>
      </w:r>
      <w:r w:rsidR="00ED144E" w:rsidRPr="00B8097E">
        <w:rPr>
          <w:sz w:val="24"/>
        </w:rPr>
        <w:t xml:space="preserve"> is </w:t>
      </w:r>
      <w:r w:rsidR="002457A9" w:rsidRPr="00B8097E">
        <w:rPr>
          <w:sz w:val="24"/>
        </w:rPr>
        <w:t>kn</w:t>
      </w:r>
      <w:r w:rsidR="00ED144E" w:rsidRPr="00B8097E">
        <w:rPr>
          <w:sz w:val="24"/>
        </w:rPr>
        <w:t>own as real earnings management. This involves</w:t>
      </w:r>
      <w:r w:rsidR="007F2E50" w:rsidRPr="00B8097E">
        <w:rPr>
          <w:sz w:val="24"/>
        </w:rPr>
        <w:t xml:space="preserve"> real activities manipulation that is the departure of normal operational practices. This is to mislead some stakeholders into believing that certain goals are achieved through normal operational activities</w:t>
      </w:r>
      <w:r w:rsidR="000134AF" w:rsidRPr="00B8097E">
        <w:rPr>
          <w:sz w:val="24"/>
        </w:rPr>
        <w:t xml:space="preserve">. These real activities manipulation </w:t>
      </w:r>
      <w:r w:rsidR="0063793E" w:rsidRPr="00B8097E">
        <w:rPr>
          <w:sz w:val="24"/>
        </w:rPr>
        <w:t>can reduce firm value as increasing earnings in current period would have a negative e</w:t>
      </w:r>
      <w:r w:rsidR="000134AF" w:rsidRPr="00B8097E">
        <w:rPr>
          <w:sz w:val="24"/>
        </w:rPr>
        <w:t>ffect</w:t>
      </w:r>
      <w:r w:rsidR="0063793E" w:rsidRPr="00B8097E">
        <w:rPr>
          <w:sz w:val="24"/>
        </w:rPr>
        <w:t xml:space="preserve"> on</w:t>
      </w:r>
      <w:r w:rsidR="000134AF" w:rsidRPr="00B8097E">
        <w:rPr>
          <w:sz w:val="24"/>
        </w:rPr>
        <w:t xml:space="preserve"> cash flows</w:t>
      </w:r>
      <w:r w:rsidR="0063793E" w:rsidRPr="00B8097E">
        <w:rPr>
          <w:sz w:val="24"/>
        </w:rPr>
        <w:t xml:space="preserve"> in future periods</w:t>
      </w:r>
      <w:r w:rsidR="00C466E2" w:rsidRPr="00B8097E">
        <w:rPr>
          <w:sz w:val="24"/>
        </w:rPr>
        <w:t xml:space="preserve">. Real activities manipulation could be achieved through the manipulation of sales, production cost and discretionary expenses. Sales of the current period is manipulated through the use of favorable credit terms and discounts to increase reported earnings. Similarly, reported earnings can be increased in the current period by increasing production as such cost per unit decreases. For discretionary expenses, corporate managers may utilize expense at discretion such as selling, </w:t>
      </w:r>
      <w:r w:rsidR="00C466E2" w:rsidRPr="00B8097E">
        <w:rPr>
          <w:noProof/>
          <w:sz w:val="24"/>
        </w:rPr>
        <w:lastRenderedPageBreak/>
        <w:t>administrative</w:t>
      </w:r>
      <w:r w:rsidR="00C466E2" w:rsidRPr="00B8097E">
        <w:rPr>
          <w:sz w:val="24"/>
        </w:rPr>
        <w:t xml:space="preserve"> and general expense; advertising expense; research and development expense for the purpose to increase </w:t>
      </w:r>
      <w:r w:rsidR="00C466E2" w:rsidRPr="00B8097E">
        <w:rPr>
          <w:noProof/>
          <w:sz w:val="24"/>
        </w:rPr>
        <w:t>short-term</w:t>
      </w:r>
      <w:r w:rsidR="00C466E2" w:rsidRPr="00B8097E">
        <w:rPr>
          <w:sz w:val="24"/>
        </w:rPr>
        <w:t xml:space="preserve"> reported earnings </w:t>
      </w:r>
      <w:r w:rsidR="007F2E50" w:rsidRPr="00B8097E">
        <w:rPr>
          <w:sz w:val="24"/>
        </w:rPr>
        <w:t>(</w:t>
      </w:r>
      <w:proofErr w:type="spellStart"/>
      <w:r w:rsidR="007F2E50" w:rsidRPr="00B8097E">
        <w:rPr>
          <w:sz w:val="24"/>
        </w:rPr>
        <w:t>Roychowdhury</w:t>
      </w:r>
      <w:proofErr w:type="spellEnd"/>
      <w:r w:rsidR="007F2E50" w:rsidRPr="00B8097E">
        <w:rPr>
          <w:sz w:val="24"/>
        </w:rPr>
        <w:t>, 2006).</w:t>
      </w:r>
      <w:r w:rsidR="00C466E2" w:rsidRPr="00B8097E">
        <w:rPr>
          <w:sz w:val="24"/>
        </w:rPr>
        <w:t xml:space="preserve"> </w:t>
      </w:r>
      <w:r w:rsidRPr="00B8097E">
        <w:rPr>
          <w:sz w:val="24"/>
        </w:rPr>
        <w:t>Several s</w:t>
      </w:r>
      <w:r w:rsidR="007F19F1" w:rsidRPr="00B8097E">
        <w:rPr>
          <w:sz w:val="24"/>
        </w:rPr>
        <w:t xml:space="preserve">tudies indicate that firms engage in various real activities to manage earnings. </w:t>
      </w:r>
      <w:proofErr w:type="spellStart"/>
      <w:r w:rsidR="004F7907" w:rsidRPr="00B8097E">
        <w:rPr>
          <w:sz w:val="24"/>
        </w:rPr>
        <w:t>Dechow</w:t>
      </w:r>
      <w:proofErr w:type="spellEnd"/>
      <w:r w:rsidR="004F7907" w:rsidRPr="00B8097E">
        <w:rPr>
          <w:sz w:val="24"/>
        </w:rPr>
        <w:t xml:space="preserve"> and Sloan (1991) and </w:t>
      </w:r>
      <w:proofErr w:type="spellStart"/>
      <w:r w:rsidR="004F7907" w:rsidRPr="00B8097E">
        <w:rPr>
          <w:sz w:val="24"/>
        </w:rPr>
        <w:t>Bushee</w:t>
      </w:r>
      <w:proofErr w:type="spellEnd"/>
      <w:r w:rsidR="004F7907" w:rsidRPr="00B8097E">
        <w:rPr>
          <w:sz w:val="24"/>
        </w:rPr>
        <w:t xml:space="preserve"> (1998) reveal that managers reduce spending on R&amp;D to increase short term earnings. </w:t>
      </w:r>
      <w:r w:rsidR="007F19F1" w:rsidRPr="00B8097E">
        <w:rPr>
          <w:sz w:val="24"/>
        </w:rPr>
        <w:t>Graham et al</w:t>
      </w:r>
      <w:r w:rsidR="0063793E" w:rsidRPr="00B8097E">
        <w:rPr>
          <w:sz w:val="24"/>
        </w:rPr>
        <w:t>. (2005) find that firm</w:t>
      </w:r>
      <w:r w:rsidR="00ED3F53" w:rsidRPr="00B8097E">
        <w:rPr>
          <w:sz w:val="24"/>
        </w:rPr>
        <w:t>s reduce</w:t>
      </w:r>
      <w:r w:rsidR="007F19F1" w:rsidRPr="00B8097E">
        <w:rPr>
          <w:sz w:val="24"/>
        </w:rPr>
        <w:t xml:space="preserve"> discretionary expenditures</w:t>
      </w:r>
      <w:r w:rsidR="0063793E" w:rsidRPr="00B8097E">
        <w:rPr>
          <w:sz w:val="24"/>
        </w:rPr>
        <w:t xml:space="preserve"> to meet earnings target</w:t>
      </w:r>
      <w:r w:rsidR="00EF0F85" w:rsidRPr="00B8097E">
        <w:rPr>
          <w:sz w:val="24"/>
        </w:rPr>
        <w:t>.</w:t>
      </w:r>
      <w:r w:rsidR="00ED3F53" w:rsidRPr="00B8097E">
        <w:rPr>
          <w:sz w:val="24"/>
        </w:rPr>
        <w:t xml:space="preserve"> </w:t>
      </w:r>
    </w:p>
    <w:p w14:paraId="2B7C7553" w14:textId="77777777" w:rsidR="00ED3F53" w:rsidRPr="00B8097E" w:rsidRDefault="007F19F1" w:rsidP="003C7A42">
      <w:pPr>
        <w:rPr>
          <w:sz w:val="24"/>
        </w:rPr>
      </w:pPr>
      <w:r w:rsidRPr="00B8097E">
        <w:rPr>
          <w:sz w:val="24"/>
        </w:rPr>
        <w:t xml:space="preserve"> </w:t>
      </w:r>
    </w:p>
    <w:p w14:paraId="60ADC66B" w14:textId="77777777" w:rsidR="00ED3F53" w:rsidRPr="00B8097E" w:rsidRDefault="00ED3F53" w:rsidP="003C7A42">
      <w:pPr>
        <w:rPr>
          <w:sz w:val="24"/>
        </w:rPr>
      </w:pPr>
    </w:p>
    <w:p w14:paraId="05A1EBD7" w14:textId="77777777" w:rsidR="00012FBF" w:rsidRPr="00B8097E" w:rsidRDefault="00760B19" w:rsidP="003C7A42">
      <w:pPr>
        <w:rPr>
          <w:b/>
          <w:sz w:val="24"/>
        </w:rPr>
      </w:pPr>
      <w:r w:rsidRPr="00B8097E">
        <w:rPr>
          <w:b/>
          <w:sz w:val="24"/>
        </w:rPr>
        <w:t>AC Characteristics</w:t>
      </w:r>
    </w:p>
    <w:p w14:paraId="2FE138F9" w14:textId="77777777" w:rsidR="00BC3275" w:rsidRPr="00B8097E" w:rsidRDefault="00BC3275" w:rsidP="003C7A42">
      <w:pPr>
        <w:rPr>
          <w:b/>
          <w:sz w:val="24"/>
        </w:rPr>
      </w:pPr>
    </w:p>
    <w:p w14:paraId="6E538631" w14:textId="77777777" w:rsidR="003C7A42" w:rsidRPr="00B8097E" w:rsidRDefault="003C7A42" w:rsidP="003C7A42">
      <w:pPr>
        <w:rPr>
          <w:b/>
          <w:sz w:val="24"/>
        </w:rPr>
      </w:pPr>
    </w:p>
    <w:p w14:paraId="154FE88F" w14:textId="77777777" w:rsidR="002B4303" w:rsidRPr="00B8097E" w:rsidRDefault="00BC3275" w:rsidP="003C7A42">
      <w:pPr>
        <w:rPr>
          <w:sz w:val="24"/>
        </w:rPr>
      </w:pPr>
      <w:r w:rsidRPr="00B8097E">
        <w:rPr>
          <w:sz w:val="24"/>
        </w:rPr>
        <w:t>The Malaysian Code on Corporate Governance</w:t>
      </w:r>
      <w:r w:rsidR="00B03364" w:rsidRPr="00B8097E">
        <w:rPr>
          <w:sz w:val="24"/>
        </w:rPr>
        <w:t xml:space="preserve"> (MCCG)</w:t>
      </w:r>
      <w:r w:rsidRPr="00B8097E">
        <w:rPr>
          <w:sz w:val="24"/>
        </w:rPr>
        <w:t xml:space="preserve"> </w:t>
      </w:r>
      <w:r w:rsidR="00E05F9A" w:rsidRPr="00B8097E">
        <w:rPr>
          <w:sz w:val="24"/>
        </w:rPr>
        <w:t xml:space="preserve">provides principles to support the company to achieve its goals and to prevent unwanted conflict. These principles when properly embraced would help the company produce long term value. One of the principles is concerned with AC effectiveness. </w:t>
      </w:r>
      <w:r w:rsidR="002B4303" w:rsidRPr="00B8097E">
        <w:rPr>
          <w:sz w:val="24"/>
        </w:rPr>
        <w:t xml:space="preserve">In the literature, </w:t>
      </w:r>
      <w:r w:rsidR="00D14772" w:rsidRPr="00B8097E">
        <w:rPr>
          <w:sz w:val="24"/>
        </w:rPr>
        <w:t>it is argued that AC effectiveness is dependent on it</w:t>
      </w:r>
      <w:r w:rsidR="00230A85" w:rsidRPr="00B8097E">
        <w:rPr>
          <w:sz w:val="24"/>
        </w:rPr>
        <w:t>s</w:t>
      </w:r>
      <w:r w:rsidR="00D14772" w:rsidRPr="00B8097E">
        <w:rPr>
          <w:sz w:val="24"/>
        </w:rPr>
        <w:t xml:space="preserve"> characteristics namely </w:t>
      </w:r>
      <w:r w:rsidR="002B4303" w:rsidRPr="00B8097E">
        <w:rPr>
          <w:sz w:val="24"/>
        </w:rPr>
        <w:t>AC competence, AC independence, AC meeting and AC size</w:t>
      </w:r>
      <w:r w:rsidR="00D14772" w:rsidRPr="00B8097E">
        <w:rPr>
          <w:sz w:val="24"/>
        </w:rPr>
        <w:t xml:space="preserve">. </w:t>
      </w:r>
      <w:r w:rsidR="002B4303" w:rsidRPr="00B8097E">
        <w:rPr>
          <w:sz w:val="24"/>
        </w:rPr>
        <w:t xml:space="preserve"> </w:t>
      </w:r>
    </w:p>
    <w:p w14:paraId="35997903" w14:textId="77777777" w:rsidR="00230A85" w:rsidRPr="00B8097E" w:rsidRDefault="00230A85" w:rsidP="003C7A42">
      <w:pPr>
        <w:rPr>
          <w:sz w:val="24"/>
        </w:rPr>
      </w:pPr>
    </w:p>
    <w:p w14:paraId="5BC4315E" w14:textId="77777777" w:rsidR="003C7A42" w:rsidRPr="00B8097E" w:rsidRDefault="003C7A42" w:rsidP="003C7A42">
      <w:pPr>
        <w:rPr>
          <w:sz w:val="24"/>
        </w:rPr>
      </w:pPr>
    </w:p>
    <w:p w14:paraId="10A6D5B8" w14:textId="77777777" w:rsidR="001633F9" w:rsidRPr="00B8097E" w:rsidRDefault="001633F9" w:rsidP="00B8097E">
      <w:pPr>
        <w:ind w:firstLine="720"/>
        <w:rPr>
          <w:sz w:val="24"/>
        </w:rPr>
      </w:pPr>
      <w:r w:rsidRPr="00B8097E">
        <w:rPr>
          <w:sz w:val="24"/>
        </w:rPr>
        <w:t>AC is the key role in a company’s go</w:t>
      </w:r>
      <w:r w:rsidR="002B4303" w:rsidRPr="00B8097E">
        <w:rPr>
          <w:sz w:val="24"/>
        </w:rPr>
        <w:t>v</w:t>
      </w:r>
      <w:r w:rsidR="00153B90" w:rsidRPr="00B8097E">
        <w:rPr>
          <w:sz w:val="24"/>
        </w:rPr>
        <w:t>ernance structure. Hence,</w:t>
      </w:r>
      <w:r w:rsidR="002B4303" w:rsidRPr="00B8097E">
        <w:rPr>
          <w:sz w:val="24"/>
        </w:rPr>
        <w:t xml:space="preserve"> AC members must</w:t>
      </w:r>
      <w:r w:rsidRPr="00B8097E">
        <w:rPr>
          <w:sz w:val="24"/>
        </w:rPr>
        <w:t xml:space="preserve"> be financially literate and have skills necessary to understand financial reporting process. </w:t>
      </w:r>
      <w:r w:rsidR="00D85E5B" w:rsidRPr="00B8097E">
        <w:rPr>
          <w:sz w:val="24"/>
        </w:rPr>
        <w:t xml:space="preserve">Without financial expertise, AC will not be able to effectively monitor financial reporting process (Abbot et al., 2004; </w:t>
      </w:r>
      <w:proofErr w:type="spellStart"/>
      <w:r w:rsidR="00D85E5B" w:rsidRPr="00B8097E">
        <w:rPr>
          <w:sz w:val="24"/>
        </w:rPr>
        <w:t>Aier</w:t>
      </w:r>
      <w:proofErr w:type="spellEnd"/>
      <w:r w:rsidR="00D85E5B" w:rsidRPr="00B8097E">
        <w:rPr>
          <w:sz w:val="24"/>
        </w:rPr>
        <w:t xml:space="preserve"> et </w:t>
      </w:r>
      <w:r w:rsidR="00EF0F85" w:rsidRPr="00B8097E">
        <w:rPr>
          <w:sz w:val="24"/>
        </w:rPr>
        <w:t xml:space="preserve">al., 2005; </w:t>
      </w:r>
      <w:proofErr w:type="spellStart"/>
      <w:r w:rsidR="00EF0F85" w:rsidRPr="00B8097E">
        <w:rPr>
          <w:sz w:val="24"/>
        </w:rPr>
        <w:t>Carcello</w:t>
      </w:r>
      <w:proofErr w:type="spellEnd"/>
      <w:r w:rsidR="00EF0F85" w:rsidRPr="00B8097E">
        <w:rPr>
          <w:sz w:val="24"/>
        </w:rPr>
        <w:t xml:space="preserve"> &amp; Neal, 2002</w:t>
      </w:r>
      <w:r w:rsidR="00D85E5B" w:rsidRPr="00B8097E">
        <w:rPr>
          <w:sz w:val="24"/>
        </w:rPr>
        <w:t>).</w:t>
      </w:r>
      <w:r w:rsidR="002B4303" w:rsidRPr="00B8097E">
        <w:rPr>
          <w:sz w:val="24"/>
        </w:rPr>
        <w:t xml:space="preserve"> </w:t>
      </w:r>
      <w:r w:rsidRPr="00B8097E">
        <w:rPr>
          <w:sz w:val="24"/>
        </w:rPr>
        <w:t xml:space="preserve">According to McMullen and </w:t>
      </w:r>
      <w:proofErr w:type="spellStart"/>
      <w:r w:rsidRPr="00B8097E">
        <w:rPr>
          <w:sz w:val="24"/>
        </w:rPr>
        <w:t>Raghunanthan</w:t>
      </w:r>
      <w:proofErr w:type="spellEnd"/>
      <w:r w:rsidRPr="00B8097E">
        <w:rPr>
          <w:sz w:val="24"/>
        </w:rPr>
        <w:t xml:space="preserve"> (1996), AC members with financial expertise are able to curb financial problems</w:t>
      </w:r>
      <w:r w:rsidR="00CF1CC0" w:rsidRPr="00B8097E">
        <w:rPr>
          <w:sz w:val="24"/>
        </w:rPr>
        <w:t>.</w:t>
      </w:r>
      <w:r w:rsidR="00D85E5B" w:rsidRPr="00B8097E">
        <w:rPr>
          <w:sz w:val="24"/>
        </w:rPr>
        <w:t xml:space="preserve"> This is possible as they would demand high quality audit (</w:t>
      </w:r>
      <w:proofErr w:type="spellStart"/>
      <w:r w:rsidR="00D85E5B" w:rsidRPr="00B8097E">
        <w:rPr>
          <w:sz w:val="24"/>
        </w:rPr>
        <w:t>Abott</w:t>
      </w:r>
      <w:proofErr w:type="spellEnd"/>
      <w:r w:rsidR="00D85E5B" w:rsidRPr="00B8097E">
        <w:rPr>
          <w:sz w:val="24"/>
        </w:rPr>
        <w:t xml:space="preserve"> et al., 2003). Furthermore, it is shown that corporate governance is strengthened when AC members have financial expertise (</w:t>
      </w:r>
      <w:proofErr w:type="spellStart"/>
      <w:r w:rsidR="00D85E5B" w:rsidRPr="00B8097E">
        <w:rPr>
          <w:sz w:val="24"/>
        </w:rPr>
        <w:t>Defond</w:t>
      </w:r>
      <w:proofErr w:type="spellEnd"/>
      <w:r w:rsidR="00D85E5B" w:rsidRPr="00B8097E">
        <w:rPr>
          <w:sz w:val="24"/>
        </w:rPr>
        <w:t xml:space="preserve">, Hann &amp; Hu, 2005). </w:t>
      </w:r>
      <w:r w:rsidR="00F9279F" w:rsidRPr="00B8097E">
        <w:rPr>
          <w:sz w:val="24"/>
        </w:rPr>
        <w:t>Abdul-</w:t>
      </w:r>
      <w:proofErr w:type="spellStart"/>
      <w:r w:rsidR="00F9279F" w:rsidRPr="00B8097E">
        <w:rPr>
          <w:sz w:val="24"/>
        </w:rPr>
        <w:t>Manaf</w:t>
      </w:r>
      <w:proofErr w:type="spellEnd"/>
      <w:r w:rsidR="00F9279F" w:rsidRPr="00B8097E">
        <w:rPr>
          <w:sz w:val="24"/>
        </w:rPr>
        <w:t xml:space="preserve"> et al. (2018) reveals that financial reporting quality is greater when AC members are more financially literate. </w:t>
      </w:r>
      <w:r w:rsidR="00D85E5B" w:rsidRPr="00B8097E">
        <w:rPr>
          <w:sz w:val="24"/>
        </w:rPr>
        <w:t>Bedard et al. (2004) document a negative relationship between earnings management and AC competence.</w:t>
      </w:r>
      <w:r w:rsidR="00F9279F" w:rsidRPr="00B8097E">
        <w:rPr>
          <w:sz w:val="24"/>
        </w:rPr>
        <w:t xml:space="preserve"> </w:t>
      </w:r>
      <w:r w:rsidR="00706756" w:rsidRPr="00B8097E">
        <w:rPr>
          <w:sz w:val="24"/>
        </w:rPr>
        <w:t>With necessary knowledge</w:t>
      </w:r>
      <w:r w:rsidR="00153B90" w:rsidRPr="00B8097E">
        <w:rPr>
          <w:sz w:val="24"/>
        </w:rPr>
        <w:t xml:space="preserve"> and skills</w:t>
      </w:r>
      <w:r w:rsidR="00706756" w:rsidRPr="00B8097E">
        <w:rPr>
          <w:sz w:val="24"/>
        </w:rPr>
        <w:t xml:space="preserve">, we expect AC members are able to </w:t>
      </w:r>
      <w:r w:rsidR="00153B90" w:rsidRPr="00B8097E">
        <w:rPr>
          <w:sz w:val="24"/>
        </w:rPr>
        <w:t xml:space="preserve">curb the practices of real activities manipulation. Therefore, </w:t>
      </w:r>
      <w:r w:rsidR="007401A9" w:rsidRPr="00B8097E">
        <w:rPr>
          <w:sz w:val="24"/>
        </w:rPr>
        <w:t>we hypothesi</w:t>
      </w:r>
      <w:r w:rsidR="00ED1129" w:rsidRPr="00B8097E">
        <w:rPr>
          <w:sz w:val="24"/>
        </w:rPr>
        <w:t>ze that:</w:t>
      </w:r>
    </w:p>
    <w:p w14:paraId="6B619CE7" w14:textId="77777777" w:rsidR="00160FDF" w:rsidRPr="00B8097E" w:rsidRDefault="00160FDF" w:rsidP="003C7A42">
      <w:pPr>
        <w:rPr>
          <w:sz w:val="24"/>
        </w:rPr>
      </w:pPr>
    </w:p>
    <w:p w14:paraId="1ACD3871" w14:textId="77777777" w:rsidR="00ED1129" w:rsidRPr="00B8097E" w:rsidRDefault="00ED1129" w:rsidP="003C7A42">
      <w:pPr>
        <w:rPr>
          <w:sz w:val="24"/>
        </w:rPr>
      </w:pPr>
      <w:r w:rsidRPr="00B8097E">
        <w:rPr>
          <w:sz w:val="24"/>
        </w:rPr>
        <w:t>H1: AC competence is negatively related to real earnings management.</w:t>
      </w:r>
    </w:p>
    <w:p w14:paraId="4DFAF787" w14:textId="77777777" w:rsidR="005D6E64" w:rsidRPr="00B8097E" w:rsidRDefault="005D6E64" w:rsidP="003C7A42">
      <w:pPr>
        <w:rPr>
          <w:sz w:val="24"/>
        </w:rPr>
      </w:pPr>
    </w:p>
    <w:p w14:paraId="2FF6E3E4" w14:textId="77777777" w:rsidR="003C7A42" w:rsidRPr="00B8097E" w:rsidRDefault="003C7A42" w:rsidP="003C7A42">
      <w:pPr>
        <w:rPr>
          <w:sz w:val="24"/>
        </w:rPr>
      </w:pPr>
    </w:p>
    <w:p w14:paraId="2D91603F" w14:textId="77777777" w:rsidR="00070637" w:rsidRPr="00B8097E" w:rsidRDefault="00070637" w:rsidP="00B8097E">
      <w:pPr>
        <w:ind w:firstLine="720"/>
        <w:rPr>
          <w:sz w:val="24"/>
        </w:rPr>
      </w:pPr>
      <w:r w:rsidRPr="00B8097E">
        <w:rPr>
          <w:sz w:val="24"/>
        </w:rPr>
        <w:t xml:space="preserve">AC independence refers to the extent AC consists of independent directors. Independent directors are those who are not current and former employees, are not relatives of management, and do not receive compensation from the firms (BRC, 1999). The </w:t>
      </w:r>
      <w:r w:rsidR="00C84D91" w:rsidRPr="00B8097E">
        <w:rPr>
          <w:sz w:val="24"/>
        </w:rPr>
        <w:t>MCCG</w:t>
      </w:r>
      <w:r w:rsidR="00CE2C37" w:rsidRPr="00B8097E">
        <w:rPr>
          <w:sz w:val="24"/>
        </w:rPr>
        <w:t xml:space="preserve"> (2017)</w:t>
      </w:r>
      <w:r w:rsidRPr="00B8097E">
        <w:rPr>
          <w:sz w:val="24"/>
        </w:rPr>
        <w:t xml:space="preserve"> recommends that AC should comprise only independent directors. This would enable AC to oversee and monitor financial reporting process more effectively. This is consistent with the requirements in many countries such as the USA, the UK and European Union that demand firms to have independent directors as the majority of AC members (Zaman et al., 2011). Studies indicate that AC independence is associated with good governance. Restatement of financial statements (Abbott et al., 2004; Farber, 2005) and fraud (Beasley, 1996) are less likely in firms with high presentation of independent directors in AC. </w:t>
      </w:r>
      <w:r w:rsidR="000B4F61" w:rsidRPr="00B8097E">
        <w:rPr>
          <w:sz w:val="24"/>
        </w:rPr>
        <w:t>High audit quality is also observed in firms with larger number of independent directors (</w:t>
      </w:r>
      <w:proofErr w:type="spellStart"/>
      <w:r w:rsidR="000B4F61" w:rsidRPr="00B8097E">
        <w:rPr>
          <w:sz w:val="24"/>
        </w:rPr>
        <w:t>Ghafran</w:t>
      </w:r>
      <w:proofErr w:type="spellEnd"/>
      <w:r w:rsidR="000B4F61" w:rsidRPr="00B8097E">
        <w:rPr>
          <w:sz w:val="24"/>
        </w:rPr>
        <w:t xml:space="preserve"> &amp; O’</w:t>
      </w:r>
      <w:r w:rsidR="00A37125" w:rsidRPr="00B8097E">
        <w:rPr>
          <w:sz w:val="24"/>
        </w:rPr>
        <w:t>Sullivan, 2013</w:t>
      </w:r>
      <w:r w:rsidR="000B4F61" w:rsidRPr="00B8097E">
        <w:rPr>
          <w:sz w:val="24"/>
        </w:rPr>
        <w:t>). With respect to the practice</w:t>
      </w:r>
      <w:r w:rsidR="00170D47" w:rsidRPr="00B8097E">
        <w:rPr>
          <w:sz w:val="24"/>
        </w:rPr>
        <w:t xml:space="preserve"> of</w:t>
      </w:r>
      <w:r w:rsidR="000B4F61" w:rsidRPr="00B8097E">
        <w:rPr>
          <w:sz w:val="24"/>
        </w:rPr>
        <w:t xml:space="preserve"> discretionary accrual to manage</w:t>
      </w:r>
      <w:r w:rsidR="00212DDB" w:rsidRPr="00B8097E">
        <w:rPr>
          <w:sz w:val="24"/>
        </w:rPr>
        <w:t xml:space="preserve"> earnings, </w:t>
      </w:r>
      <w:r w:rsidR="00A37125" w:rsidRPr="00B8097E">
        <w:rPr>
          <w:sz w:val="24"/>
        </w:rPr>
        <w:t xml:space="preserve">Salleh and Che </w:t>
      </w:r>
      <w:proofErr w:type="spellStart"/>
      <w:r w:rsidR="00A37125" w:rsidRPr="00B8097E">
        <w:rPr>
          <w:sz w:val="24"/>
        </w:rPr>
        <w:t>Haat</w:t>
      </w:r>
      <w:proofErr w:type="spellEnd"/>
      <w:r w:rsidR="00A37125" w:rsidRPr="00B8097E">
        <w:rPr>
          <w:sz w:val="24"/>
        </w:rPr>
        <w:t xml:space="preserve"> </w:t>
      </w:r>
      <w:r w:rsidR="000B4F61" w:rsidRPr="00B8097E">
        <w:rPr>
          <w:sz w:val="24"/>
        </w:rPr>
        <w:t>(201</w:t>
      </w:r>
      <w:r w:rsidR="00A37125" w:rsidRPr="00B8097E">
        <w:rPr>
          <w:sz w:val="24"/>
        </w:rPr>
        <w:t>4</w:t>
      </w:r>
      <w:r w:rsidR="000B4F61" w:rsidRPr="00B8097E">
        <w:rPr>
          <w:sz w:val="24"/>
        </w:rPr>
        <w:t>) reveal that AC independence is able to curb earnings management.</w:t>
      </w:r>
      <w:r w:rsidR="00C84D91" w:rsidRPr="00B8097E">
        <w:rPr>
          <w:sz w:val="24"/>
        </w:rPr>
        <w:t xml:space="preserve"> </w:t>
      </w:r>
      <w:r w:rsidRPr="00B8097E">
        <w:rPr>
          <w:sz w:val="24"/>
        </w:rPr>
        <w:t>Through greater monitoring, we expect real earnings management is less in firms with greater AC independence. Therefore, we hypothesize that:</w:t>
      </w:r>
    </w:p>
    <w:p w14:paraId="3D261020" w14:textId="77777777" w:rsidR="00160FDF" w:rsidRPr="00B8097E" w:rsidRDefault="00160FDF" w:rsidP="003C7A42">
      <w:pPr>
        <w:rPr>
          <w:sz w:val="24"/>
        </w:rPr>
      </w:pPr>
    </w:p>
    <w:p w14:paraId="78458126" w14:textId="77777777" w:rsidR="00F45F0B" w:rsidRPr="00B8097E" w:rsidRDefault="00070637" w:rsidP="003C7A42">
      <w:pPr>
        <w:rPr>
          <w:sz w:val="24"/>
        </w:rPr>
      </w:pPr>
      <w:r w:rsidRPr="00B8097E">
        <w:rPr>
          <w:sz w:val="24"/>
        </w:rPr>
        <w:lastRenderedPageBreak/>
        <w:t>H2: AC independence is negatively related to real earnings management.</w:t>
      </w:r>
    </w:p>
    <w:p w14:paraId="1D7893BB" w14:textId="77777777" w:rsidR="003C7A42" w:rsidRPr="00B8097E" w:rsidRDefault="003C7A42" w:rsidP="003C7A42">
      <w:pPr>
        <w:rPr>
          <w:sz w:val="24"/>
        </w:rPr>
      </w:pPr>
    </w:p>
    <w:p w14:paraId="35C82967" w14:textId="77777777" w:rsidR="003C7A42" w:rsidRPr="00B8097E" w:rsidRDefault="003C7A42" w:rsidP="003C7A42">
      <w:pPr>
        <w:rPr>
          <w:sz w:val="24"/>
        </w:rPr>
      </w:pPr>
    </w:p>
    <w:p w14:paraId="5AE91E4C" w14:textId="77777777" w:rsidR="006B1FCF" w:rsidRPr="00B8097E" w:rsidRDefault="005B3737" w:rsidP="00B8097E">
      <w:pPr>
        <w:ind w:firstLine="720"/>
        <w:rPr>
          <w:sz w:val="24"/>
        </w:rPr>
      </w:pPr>
      <w:r w:rsidRPr="00B8097E">
        <w:rPr>
          <w:sz w:val="24"/>
        </w:rPr>
        <w:t>F</w:t>
      </w:r>
      <w:r w:rsidR="00B03364" w:rsidRPr="00B8097E">
        <w:rPr>
          <w:sz w:val="24"/>
        </w:rPr>
        <w:t xml:space="preserve">requent AC meeting </w:t>
      </w:r>
      <w:r w:rsidRPr="00B8097E">
        <w:rPr>
          <w:sz w:val="24"/>
        </w:rPr>
        <w:t xml:space="preserve">has been argued as </w:t>
      </w:r>
      <w:r w:rsidR="00B03364" w:rsidRPr="00B8097E">
        <w:rPr>
          <w:sz w:val="24"/>
        </w:rPr>
        <w:t>an effective practice of go</w:t>
      </w:r>
      <w:r w:rsidR="00B35976" w:rsidRPr="00B8097E">
        <w:rPr>
          <w:sz w:val="24"/>
        </w:rPr>
        <w:t>o</w:t>
      </w:r>
      <w:r w:rsidR="00B03364" w:rsidRPr="00B8097E">
        <w:rPr>
          <w:sz w:val="24"/>
        </w:rPr>
        <w:t xml:space="preserve">d governance. This is to ensure that AC members are provided with more time to monitor financial reporting </w:t>
      </w:r>
      <w:r w:rsidR="003D11ED" w:rsidRPr="00B8097E">
        <w:rPr>
          <w:sz w:val="24"/>
        </w:rPr>
        <w:t xml:space="preserve">process </w:t>
      </w:r>
      <w:r w:rsidR="00B03364" w:rsidRPr="00B8097E">
        <w:rPr>
          <w:sz w:val="24"/>
        </w:rPr>
        <w:t>more effectively</w:t>
      </w:r>
      <w:r w:rsidR="00BB06C7" w:rsidRPr="00B8097E">
        <w:rPr>
          <w:sz w:val="24"/>
        </w:rPr>
        <w:t xml:space="preserve">. AC with more frequent meetings is </w:t>
      </w:r>
      <w:r w:rsidR="006F6BCD" w:rsidRPr="00B8097E">
        <w:rPr>
          <w:sz w:val="24"/>
        </w:rPr>
        <w:t xml:space="preserve">often </w:t>
      </w:r>
      <w:r w:rsidR="00BB06C7" w:rsidRPr="00B8097E">
        <w:rPr>
          <w:sz w:val="24"/>
        </w:rPr>
        <w:t>regarded as more effective</w:t>
      </w:r>
      <w:r w:rsidRPr="00B8097E">
        <w:rPr>
          <w:sz w:val="24"/>
        </w:rPr>
        <w:t xml:space="preserve"> (Zaman et al., 2011). </w:t>
      </w:r>
      <w:r w:rsidR="006F6BCD" w:rsidRPr="00B8097E">
        <w:rPr>
          <w:sz w:val="24"/>
        </w:rPr>
        <w:t xml:space="preserve">Studies have provided results that support the argument. </w:t>
      </w:r>
      <w:proofErr w:type="spellStart"/>
      <w:r w:rsidR="00B013B3" w:rsidRPr="00B8097E">
        <w:rPr>
          <w:sz w:val="24"/>
        </w:rPr>
        <w:t>Xie</w:t>
      </w:r>
      <w:proofErr w:type="spellEnd"/>
      <w:r w:rsidR="00B013B3" w:rsidRPr="00B8097E">
        <w:rPr>
          <w:sz w:val="24"/>
        </w:rPr>
        <w:t xml:space="preserve"> et al. (2003) show that AC meeting frequency is associated with reduced level of discretionary accrual. </w:t>
      </w:r>
      <w:r w:rsidR="006F6BCD" w:rsidRPr="00B8097E">
        <w:rPr>
          <w:sz w:val="24"/>
        </w:rPr>
        <w:t xml:space="preserve">Garcia et al. (2012) find that the opportunity to detect mistakes in financial reporting is greater when AC meets more often. </w:t>
      </w:r>
      <w:proofErr w:type="spellStart"/>
      <w:r w:rsidR="004652AF" w:rsidRPr="00B8097E">
        <w:rPr>
          <w:sz w:val="24"/>
        </w:rPr>
        <w:t>Inaam</w:t>
      </w:r>
      <w:proofErr w:type="spellEnd"/>
      <w:r w:rsidR="004652AF" w:rsidRPr="00B8097E">
        <w:rPr>
          <w:sz w:val="24"/>
        </w:rPr>
        <w:t xml:space="preserve"> et al. (2012) report that AC is able to limit sale manipulation when meeting</w:t>
      </w:r>
      <w:r w:rsidR="008722D7" w:rsidRPr="00B8097E">
        <w:rPr>
          <w:sz w:val="24"/>
        </w:rPr>
        <w:t>s are</w:t>
      </w:r>
      <w:r w:rsidR="004652AF" w:rsidRPr="00B8097E">
        <w:rPr>
          <w:sz w:val="24"/>
        </w:rPr>
        <w:t xml:space="preserve"> held more often. </w:t>
      </w:r>
      <w:r w:rsidR="006B1FCF" w:rsidRPr="00B8097E">
        <w:rPr>
          <w:sz w:val="24"/>
        </w:rPr>
        <w:t>Based on the abovementioned arguments, we hypothesize that:</w:t>
      </w:r>
    </w:p>
    <w:p w14:paraId="3C3C2732" w14:textId="77777777" w:rsidR="00160FDF" w:rsidRPr="00B8097E" w:rsidRDefault="00160FDF" w:rsidP="003C7A42">
      <w:pPr>
        <w:rPr>
          <w:sz w:val="24"/>
        </w:rPr>
      </w:pPr>
    </w:p>
    <w:p w14:paraId="6AB87DFB" w14:textId="77777777" w:rsidR="003D11ED" w:rsidRPr="00B8097E" w:rsidRDefault="003D11ED" w:rsidP="003C7A42">
      <w:pPr>
        <w:rPr>
          <w:sz w:val="24"/>
        </w:rPr>
      </w:pPr>
      <w:r w:rsidRPr="00B8097E">
        <w:rPr>
          <w:sz w:val="24"/>
        </w:rPr>
        <w:t>H3: AC meeting is negatively related to real earnings management.</w:t>
      </w:r>
    </w:p>
    <w:p w14:paraId="42C5F7B3" w14:textId="77777777" w:rsidR="002B4303" w:rsidRPr="00B8097E" w:rsidRDefault="002B4303" w:rsidP="003C7A42">
      <w:pPr>
        <w:rPr>
          <w:sz w:val="24"/>
        </w:rPr>
      </w:pPr>
    </w:p>
    <w:p w14:paraId="3FBC6EFC" w14:textId="77777777" w:rsidR="003C7A42" w:rsidRPr="00B8097E" w:rsidRDefault="003C7A42" w:rsidP="003C7A42">
      <w:pPr>
        <w:rPr>
          <w:sz w:val="24"/>
        </w:rPr>
      </w:pPr>
    </w:p>
    <w:p w14:paraId="3AFA9509" w14:textId="77777777" w:rsidR="006B1FCF" w:rsidRPr="00B8097E" w:rsidRDefault="002B4303" w:rsidP="00B8097E">
      <w:pPr>
        <w:ind w:firstLine="720"/>
        <w:rPr>
          <w:sz w:val="24"/>
        </w:rPr>
      </w:pPr>
      <w:r w:rsidRPr="00B8097E">
        <w:rPr>
          <w:sz w:val="24"/>
        </w:rPr>
        <w:t xml:space="preserve">It has been argued that AC is more effective as its size increases. More AC members are more likely to bring diversity of views and skills. </w:t>
      </w:r>
      <w:r w:rsidR="006B1FCF" w:rsidRPr="00B8097E">
        <w:rPr>
          <w:sz w:val="24"/>
        </w:rPr>
        <w:t>AC with large number of members would have sufficient skills and this means they are more capable</w:t>
      </w:r>
      <w:r w:rsidRPr="00B8097E">
        <w:rPr>
          <w:sz w:val="24"/>
        </w:rPr>
        <w:t xml:space="preserve"> to resolve issues in financial reporting (Li et al, 2012). </w:t>
      </w:r>
      <w:proofErr w:type="spellStart"/>
      <w:r w:rsidR="001B56D2" w:rsidRPr="00B8097E">
        <w:rPr>
          <w:sz w:val="24"/>
        </w:rPr>
        <w:t>Xie</w:t>
      </w:r>
      <w:proofErr w:type="spellEnd"/>
      <w:r w:rsidR="001B56D2" w:rsidRPr="00B8097E">
        <w:rPr>
          <w:sz w:val="24"/>
        </w:rPr>
        <w:t xml:space="preserve"> et al. (2003)</w:t>
      </w:r>
      <w:r w:rsidR="00153B90" w:rsidRPr="00B8097E">
        <w:rPr>
          <w:sz w:val="24"/>
        </w:rPr>
        <w:t xml:space="preserve"> show that earnings management is lower in firms with larger AC size. Similarly, </w:t>
      </w:r>
      <w:r w:rsidR="001B56D2" w:rsidRPr="00B8097E">
        <w:rPr>
          <w:sz w:val="24"/>
        </w:rPr>
        <w:t xml:space="preserve">Ghosh et al. (2010) document that firms with large AC size are less likely to engage in earnings management. </w:t>
      </w:r>
      <w:r w:rsidR="006B1FCF" w:rsidRPr="00B8097E">
        <w:rPr>
          <w:sz w:val="24"/>
        </w:rPr>
        <w:t>With respect to real earnings management, we expect AC size is also an important factor for AC effectiveness. Therefore, we hypothesize that:</w:t>
      </w:r>
    </w:p>
    <w:p w14:paraId="3A344BCB" w14:textId="77777777" w:rsidR="00160FDF" w:rsidRPr="00B8097E" w:rsidRDefault="00160FDF" w:rsidP="003C7A42">
      <w:pPr>
        <w:rPr>
          <w:sz w:val="24"/>
        </w:rPr>
      </w:pPr>
    </w:p>
    <w:p w14:paraId="034C7634" w14:textId="77777777" w:rsidR="006B1FCF" w:rsidRPr="00B8097E" w:rsidRDefault="006B1FCF" w:rsidP="003C7A42">
      <w:pPr>
        <w:rPr>
          <w:sz w:val="24"/>
        </w:rPr>
      </w:pPr>
      <w:r w:rsidRPr="00B8097E">
        <w:rPr>
          <w:sz w:val="24"/>
        </w:rPr>
        <w:t>H4: AC size is negatively related to real earnings management.</w:t>
      </w:r>
    </w:p>
    <w:p w14:paraId="275F58FF" w14:textId="77777777" w:rsidR="003C7A42" w:rsidRPr="00B8097E" w:rsidRDefault="003C7A42" w:rsidP="003C7A42">
      <w:pPr>
        <w:rPr>
          <w:sz w:val="24"/>
        </w:rPr>
      </w:pPr>
    </w:p>
    <w:p w14:paraId="0FE5F9A5" w14:textId="77777777" w:rsidR="002B4303" w:rsidRPr="00B8097E" w:rsidRDefault="002B4303" w:rsidP="003C7A42">
      <w:pPr>
        <w:rPr>
          <w:sz w:val="24"/>
        </w:rPr>
      </w:pPr>
    </w:p>
    <w:p w14:paraId="04A6F29B" w14:textId="77777777" w:rsidR="00307B43" w:rsidRPr="00B8097E" w:rsidRDefault="00012FBF" w:rsidP="00B8097E">
      <w:pPr>
        <w:jc w:val="center"/>
        <w:rPr>
          <w:b/>
          <w:sz w:val="24"/>
        </w:rPr>
      </w:pPr>
      <w:r w:rsidRPr="00B8097E">
        <w:rPr>
          <w:b/>
          <w:sz w:val="24"/>
        </w:rPr>
        <w:t>RESEARCH METHOD</w:t>
      </w:r>
    </w:p>
    <w:p w14:paraId="13B5D89D" w14:textId="77777777" w:rsidR="003C7A42" w:rsidRPr="00B8097E" w:rsidRDefault="003C7A42" w:rsidP="003C7A42">
      <w:pPr>
        <w:rPr>
          <w:b/>
          <w:sz w:val="24"/>
        </w:rPr>
      </w:pPr>
    </w:p>
    <w:p w14:paraId="4243AA45" w14:textId="77777777" w:rsidR="00012FBF" w:rsidRPr="00B8097E" w:rsidRDefault="00012FBF" w:rsidP="003C7A42">
      <w:pPr>
        <w:rPr>
          <w:sz w:val="24"/>
        </w:rPr>
      </w:pPr>
    </w:p>
    <w:p w14:paraId="38E7EB7D" w14:textId="77777777" w:rsidR="003D6D93" w:rsidRPr="00B8097E" w:rsidRDefault="00645659" w:rsidP="003C7A42">
      <w:pPr>
        <w:rPr>
          <w:sz w:val="24"/>
          <w:lang w:val="en-GB"/>
        </w:rPr>
      </w:pPr>
      <w:r w:rsidRPr="00B8097E">
        <w:rPr>
          <w:sz w:val="24"/>
        </w:rPr>
        <w:t>Our sample consists of 1,178</w:t>
      </w:r>
      <w:r w:rsidR="00307B43" w:rsidRPr="00B8097E">
        <w:rPr>
          <w:sz w:val="24"/>
        </w:rPr>
        <w:t xml:space="preserve"> firm-year observation</w:t>
      </w:r>
      <w:r w:rsidR="00A11B9F" w:rsidRPr="00B8097E">
        <w:rPr>
          <w:sz w:val="24"/>
        </w:rPr>
        <w:t>s</w:t>
      </w:r>
      <w:r w:rsidR="00307B43" w:rsidRPr="00B8097E">
        <w:rPr>
          <w:sz w:val="24"/>
        </w:rPr>
        <w:t xml:space="preserve"> of non-financial firms listed on Bursa Ma</w:t>
      </w:r>
      <w:r w:rsidR="005B32AC">
        <w:rPr>
          <w:sz w:val="24"/>
        </w:rPr>
        <w:t>laysia over the period 2014-2017</w:t>
      </w:r>
      <w:r w:rsidR="00307B43" w:rsidRPr="00B8097E">
        <w:rPr>
          <w:sz w:val="24"/>
        </w:rPr>
        <w:t>.</w:t>
      </w:r>
      <w:r w:rsidR="003D6D93" w:rsidRPr="00B8097E">
        <w:rPr>
          <w:sz w:val="24"/>
        </w:rPr>
        <w:t xml:space="preserve"> This study uses the annual reports and financial database in gathering the necessary information. The data on company annual reports is retrieved from the Bursa Malaysia website (</w:t>
      </w:r>
      <w:hyperlink r:id="rId7" w:history="1">
        <w:r w:rsidR="003D6D93" w:rsidRPr="00B8097E">
          <w:rPr>
            <w:rStyle w:val="Hyperlink"/>
            <w:sz w:val="24"/>
          </w:rPr>
          <w:t>www.bursamalaysia.com</w:t>
        </w:r>
      </w:hyperlink>
      <w:r w:rsidR="003D6D93" w:rsidRPr="00B8097E">
        <w:rPr>
          <w:sz w:val="24"/>
        </w:rPr>
        <w:t xml:space="preserve">). The financial data is retrieved from the Thomson Advance Database. </w:t>
      </w:r>
      <w:r w:rsidR="003D6D93" w:rsidRPr="00B8097E">
        <w:rPr>
          <w:sz w:val="24"/>
          <w:lang w:val="en-GB"/>
        </w:rPr>
        <w:t xml:space="preserve">We employ the following regression model: </w:t>
      </w:r>
    </w:p>
    <w:p w14:paraId="3441ECC2" w14:textId="77777777" w:rsidR="003D6D93" w:rsidRPr="00B8097E" w:rsidRDefault="003D6D93" w:rsidP="003C7A42">
      <w:pPr>
        <w:ind w:left="709" w:hanging="709"/>
        <w:rPr>
          <w:sz w:val="24"/>
        </w:rPr>
      </w:pPr>
    </w:p>
    <w:p w14:paraId="602499DA" w14:textId="77777777" w:rsidR="003D6D93" w:rsidRPr="00B8097E" w:rsidRDefault="001D42C0" w:rsidP="003C7A42">
      <w:pPr>
        <w:ind w:left="709" w:hanging="709"/>
        <w:rPr>
          <w:sz w:val="24"/>
        </w:rPr>
      </w:pPr>
      <w:proofErr w:type="spellStart"/>
      <w:r w:rsidRPr="00B8097E">
        <w:rPr>
          <w:sz w:val="24"/>
        </w:rPr>
        <w:t>R</w:t>
      </w:r>
      <w:r w:rsidR="003D6D93" w:rsidRPr="00B8097E">
        <w:rPr>
          <w:sz w:val="24"/>
        </w:rPr>
        <w:t>EM</w:t>
      </w:r>
      <w:r w:rsidR="003D6D93" w:rsidRPr="00B8097E">
        <w:rPr>
          <w:sz w:val="24"/>
          <w:vertAlign w:val="subscript"/>
        </w:rPr>
        <w:t>it</w:t>
      </w:r>
      <w:proofErr w:type="spellEnd"/>
      <w:r w:rsidR="003D6D93" w:rsidRPr="00B8097E">
        <w:rPr>
          <w:sz w:val="24"/>
        </w:rPr>
        <w:t xml:space="preserve"> = α</w:t>
      </w:r>
      <w:r w:rsidR="003D6D93" w:rsidRPr="00B8097E">
        <w:rPr>
          <w:sz w:val="24"/>
          <w:vertAlign w:val="subscript"/>
        </w:rPr>
        <w:t>1</w:t>
      </w:r>
      <w:r w:rsidR="003D6D93" w:rsidRPr="00B8097E">
        <w:rPr>
          <w:sz w:val="24"/>
        </w:rPr>
        <w:t xml:space="preserve"> + </w:t>
      </w:r>
      <w:r w:rsidR="00645659" w:rsidRPr="00B8097E">
        <w:rPr>
          <w:sz w:val="24"/>
        </w:rPr>
        <w:t>β</w:t>
      </w:r>
      <w:r w:rsidR="00645659" w:rsidRPr="00B8097E">
        <w:rPr>
          <w:sz w:val="24"/>
          <w:vertAlign w:val="subscript"/>
        </w:rPr>
        <w:t>1</w:t>
      </w:r>
      <w:r w:rsidR="00645659" w:rsidRPr="00B8097E">
        <w:rPr>
          <w:sz w:val="24"/>
        </w:rPr>
        <w:t>ACCOMPETENCE</w:t>
      </w:r>
      <w:r w:rsidR="00645659" w:rsidRPr="00B8097E">
        <w:rPr>
          <w:sz w:val="24"/>
          <w:vertAlign w:val="subscript"/>
        </w:rPr>
        <w:t>it</w:t>
      </w:r>
      <w:r w:rsidR="00645659" w:rsidRPr="00B8097E">
        <w:rPr>
          <w:sz w:val="24"/>
        </w:rPr>
        <w:t xml:space="preserve"> + β</w:t>
      </w:r>
      <w:r w:rsidR="00645659" w:rsidRPr="00B8097E">
        <w:rPr>
          <w:sz w:val="24"/>
          <w:vertAlign w:val="subscript"/>
        </w:rPr>
        <w:t>2</w:t>
      </w:r>
      <w:r w:rsidR="00645659" w:rsidRPr="00B8097E">
        <w:rPr>
          <w:sz w:val="24"/>
        </w:rPr>
        <w:t>ACINDEPENDENCE</w:t>
      </w:r>
      <w:r w:rsidR="00645659" w:rsidRPr="00B8097E">
        <w:rPr>
          <w:sz w:val="24"/>
          <w:vertAlign w:val="subscript"/>
        </w:rPr>
        <w:t>it</w:t>
      </w:r>
      <w:r w:rsidR="00645659" w:rsidRPr="00B8097E">
        <w:rPr>
          <w:sz w:val="24"/>
        </w:rPr>
        <w:t xml:space="preserve"> + β</w:t>
      </w:r>
      <w:r w:rsidR="00645659" w:rsidRPr="00B8097E">
        <w:rPr>
          <w:sz w:val="24"/>
          <w:vertAlign w:val="subscript"/>
        </w:rPr>
        <w:t>3</w:t>
      </w:r>
      <w:r w:rsidR="00645659" w:rsidRPr="00B8097E">
        <w:rPr>
          <w:sz w:val="24"/>
        </w:rPr>
        <w:t>ACMEETING</w:t>
      </w:r>
      <w:r w:rsidR="00645659" w:rsidRPr="00B8097E">
        <w:rPr>
          <w:sz w:val="24"/>
          <w:vertAlign w:val="subscript"/>
        </w:rPr>
        <w:t>it</w:t>
      </w:r>
      <w:r w:rsidR="00645659" w:rsidRPr="00B8097E">
        <w:rPr>
          <w:sz w:val="24"/>
        </w:rPr>
        <w:t xml:space="preserve"> +</w:t>
      </w:r>
      <w:r w:rsidR="005D6E64" w:rsidRPr="00B8097E">
        <w:rPr>
          <w:sz w:val="24"/>
        </w:rPr>
        <w:t xml:space="preserve"> β</w:t>
      </w:r>
      <w:r w:rsidR="005D6E64" w:rsidRPr="00B8097E">
        <w:rPr>
          <w:sz w:val="24"/>
          <w:vertAlign w:val="subscript"/>
        </w:rPr>
        <w:t>4</w:t>
      </w:r>
      <w:r w:rsidR="005D6E64" w:rsidRPr="00B8097E">
        <w:rPr>
          <w:sz w:val="24"/>
        </w:rPr>
        <w:t>ACSIZE</w:t>
      </w:r>
      <w:r w:rsidR="005D6E64" w:rsidRPr="00B8097E">
        <w:rPr>
          <w:sz w:val="24"/>
          <w:vertAlign w:val="subscript"/>
        </w:rPr>
        <w:t xml:space="preserve">it </w:t>
      </w:r>
      <w:r w:rsidR="005D6E64" w:rsidRPr="00B8097E">
        <w:rPr>
          <w:sz w:val="24"/>
        </w:rPr>
        <w:t>+</w:t>
      </w:r>
      <w:r w:rsidR="00645659" w:rsidRPr="00B8097E">
        <w:rPr>
          <w:sz w:val="24"/>
        </w:rPr>
        <w:t xml:space="preserve"> </w:t>
      </w:r>
      <w:proofErr w:type="spellStart"/>
      <w:r w:rsidR="003D6D93" w:rsidRPr="00B8097E">
        <w:rPr>
          <w:sz w:val="24"/>
        </w:rPr>
        <w:t>ɛ</w:t>
      </w:r>
      <w:r w:rsidR="003D6D93" w:rsidRPr="00B8097E">
        <w:rPr>
          <w:sz w:val="24"/>
          <w:vertAlign w:val="subscript"/>
        </w:rPr>
        <w:t>it</w:t>
      </w:r>
      <w:proofErr w:type="spellEnd"/>
      <w:r w:rsidR="003D6D93" w:rsidRPr="00B8097E">
        <w:rPr>
          <w:sz w:val="24"/>
        </w:rPr>
        <w:t>.</w:t>
      </w:r>
    </w:p>
    <w:p w14:paraId="772F360E" w14:textId="77777777" w:rsidR="00D82A48" w:rsidRPr="00B8097E" w:rsidRDefault="00D82A48" w:rsidP="003C7A42">
      <w:pPr>
        <w:ind w:left="709" w:hanging="709"/>
        <w:rPr>
          <w:sz w:val="24"/>
        </w:rPr>
      </w:pPr>
    </w:p>
    <w:p w14:paraId="6939AC92" w14:textId="77777777" w:rsidR="003C7A42" w:rsidRPr="00B8097E" w:rsidRDefault="003C7A42" w:rsidP="003C7A42">
      <w:pPr>
        <w:ind w:left="709" w:hanging="709"/>
        <w:rPr>
          <w:sz w:val="24"/>
        </w:rPr>
      </w:pPr>
    </w:p>
    <w:p w14:paraId="649E560C" w14:textId="77777777" w:rsidR="00D82A48" w:rsidRPr="00B8097E" w:rsidRDefault="001D42C0" w:rsidP="00B8097E">
      <w:pPr>
        <w:ind w:firstLine="708"/>
        <w:rPr>
          <w:sz w:val="24"/>
        </w:rPr>
      </w:pPr>
      <w:r w:rsidRPr="00B8097E">
        <w:rPr>
          <w:sz w:val="24"/>
        </w:rPr>
        <w:t>R</w:t>
      </w:r>
      <w:r w:rsidR="00D82A48" w:rsidRPr="00B8097E">
        <w:rPr>
          <w:sz w:val="24"/>
        </w:rPr>
        <w:t xml:space="preserve">EM is the level of </w:t>
      </w:r>
      <w:r w:rsidRPr="00B8097E">
        <w:rPr>
          <w:sz w:val="24"/>
        </w:rPr>
        <w:t xml:space="preserve">real </w:t>
      </w:r>
      <w:r w:rsidR="00D82A48" w:rsidRPr="00B8097E">
        <w:rPr>
          <w:sz w:val="24"/>
        </w:rPr>
        <w:t xml:space="preserve">earnings management. </w:t>
      </w:r>
      <w:r w:rsidR="0092060A" w:rsidRPr="00B8097E">
        <w:rPr>
          <w:sz w:val="24"/>
        </w:rPr>
        <w:t>O</w:t>
      </w:r>
      <w:r w:rsidR="00D82A48" w:rsidRPr="00B8097E">
        <w:rPr>
          <w:sz w:val="24"/>
        </w:rPr>
        <w:t xml:space="preserve">ur measure for </w:t>
      </w:r>
      <w:r w:rsidRPr="00B8097E">
        <w:rPr>
          <w:sz w:val="24"/>
        </w:rPr>
        <w:t xml:space="preserve">real </w:t>
      </w:r>
      <w:r w:rsidR="00D82A48" w:rsidRPr="00B8097E">
        <w:rPr>
          <w:sz w:val="24"/>
        </w:rPr>
        <w:t>earnings management</w:t>
      </w:r>
      <w:r w:rsidR="0092060A" w:rsidRPr="00B8097E">
        <w:rPr>
          <w:sz w:val="24"/>
        </w:rPr>
        <w:t xml:space="preserve"> is based on the method proposed by </w:t>
      </w:r>
      <w:proofErr w:type="spellStart"/>
      <w:r w:rsidR="0092060A" w:rsidRPr="00B8097E">
        <w:rPr>
          <w:sz w:val="24"/>
        </w:rPr>
        <w:t>Roychowdhury</w:t>
      </w:r>
      <w:proofErr w:type="spellEnd"/>
      <w:r w:rsidR="0092060A" w:rsidRPr="00B8097E">
        <w:rPr>
          <w:sz w:val="24"/>
        </w:rPr>
        <w:t xml:space="preserve"> (2006). </w:t>
      </w:r>
      <w:r w:rsidR="00160FDF" w:rsidRPr="00B8097E">
        <w:rPr>
          <w:sz w:val="24"/>
        </w:rPr>
        <w:t>Real earnings management is</w:t>
      </w:r>
      <w:r w:rsidR="00AF6B18" w:rsidRPr="00B8097E">
        <w:rPr>
          <w:sz w:val="24"/>
        </w:rPr>
        <w:t xml:space="preserve"> measured </w:t>
      </w:r>
      <w:r w:rsidR="006667D9" w:rsidRPr="00B8097E">
        <w:rPr>
          <w:sz w:val="24"/>
        </w:rPr>
        <w:t>by abnormal cash flow fro</w:t>
      </w:r>
      <w:r w:rsidR="00AF6B18" w:rsidRPr="00B8097E">
        <w:rPr>
          <w:sz w:val="24"/>
        </w:rPr>
        <w:t>m operation (CFO), which is the difference between actual CFO and estimated CFO. Following is the formula used to compute estimated CFO:</w:t>
      </w:r>
    </w:p>
    <w:p w14:paraId="2957F19D" w14:textId="77777777" w:rsidR="00AF6B18" w:rsidRPr="00B8097E" w:rsidRDefault="00AF6B18" w:rsidP="003C7A42">
      <w:pPr>
        <w:rPr>
          <w:sz w:val="24"/>
        </w:rPr>
      </w:pPr>
    </w:p>
    <w:p w14:paraId="2DDCD30D" w14:textId="77777777" w:rsidR="00AF6B18" w:rsidRPr="00B8097E" w:rsidRDefault="00AF6B18" w:rsidP="003C7A42">
      <w:pPr>
        <w:autoSpaceDE w:val="0"/>
        <w:autoSpaceDN w:val="0"/>
        <w:adjustRightInd w:val="0"/>
        <w:ind w:firstLine="708"/>
        <w:rPr>
          <w:b/>
          <w:sz w:val="24"/>
        </w:rPr>
      </w:pPr>
      <w:r w:rsidRPr="00B8097E">
        <w:rPr>
          <w:b/>
          <w:sz w:val="24"/>
        </w:rPr>
        <w:t>Estimated CFO</w:t>
      </w:r>
      <w:r w:rsidRPr="00B8097E">
        <w:rPr>
          <w:sz w:val="24"/>
        </w:rPr>
        <w:t xml:space="preserve"> = </w:t>
      </w:r>
      <w:proofErr w:type="spellStart"/>
      <w:r w:rsidRPr="00B8097E">
        <w:rPr>
          <w:sz w:val="24"/>
        </w:rPr>
        <w:t>CFO</w:t>
      </w:r>
      <w:r w:rsidRPr="00B8097E">
        <w:rPr>
          <w:sz w:val="24"/>
          <w:vertAlign w:val="subscript"/>
        </w:rPr>
        <w:t>t</w:t>
      </w:r>
      <w:proofErr w:type="spellEnd"/>
      <w:r w:rsidRPr="00B8097E">
        <w:rPr>
          <w:sz w:val="24"/>
        </w:rPr>
        <w:t>/A</w:t>
      </w:r>
      <w:r w:rsidRPr="00B8097E">
        <w:rPr>
          <w:sz w:val="24"/>
          <w:vertAlign w:val="subscript"/>
        </w:rPr>
        <w:t xml:space="preserve">t-1 </w:t>
      </w:r>
      <w:r w:rsidRPr="00B8097E">
        <w:rPr>
          <w:sz w:val="24"/>
        </w:rPr>
        <w:t>= α</w:t>
      </w:r>
      <w:r w:rsidRPr="00B8097E">
        <w:rPr>
          <w:sz w:val="24"/>
          <w:vertAlign w:val="subscript"/>
        </w:rPr>
        <w:t xml:space="preserve">0 </w:t>
      </w:r>
      <w:r w:rsidRPr="00B8097E">
        <w:rPr>
          <w:sz w:val="24"/>
        </w:rPr>
        <w:t>+ α</w:t>
      </w:r>
      <w:r w:rsidRPr="00B8097E">
        <w:rPr>
          <w:sz w:val="24"/>
          <w:vertAlign w:val="subscript"/>
        </w:rPr>
        <w:t>1</w:t>
      </w:r>
      <w:r w:rsidRPr="00B8097E">
        <w:rPr>
          <w:sz w:val="24"/>
        </w:rPr>
        <w:t>(1/A</w:t>
      </w:r>
      <w:r w:rsidRPr="00B8097E">
        <w:rPr>
          <w:sz w:val="24"/>
          <w:vertAlign w:val="subscript"/>
        </w:rPr>
        <w:t>t-1</w:t>
      </w:r>
      <w:proofErr w:type="gramStart"/>
      <w:r w:rsidRPr="00B8097E">
        <w:rPr>
          <w:sz w:val="24"/>
        </w:rPr>
        <w:t>)  +</w:t>
      </w:r>
      <w:proofErr w:type="gramEnd"/>
      <w:r w:rsidRPr="00B8097E">
        <w:rPr>
          <w:sz w:val="24"/>
        </w:rPr>
        <w:t xml:space="preserve"> β</w:t>
      </w:r>
      <w:r w:rsidRPr="00B8097E">
        <w:rPr>
          <w:sz w:val="24"/>
          <w:vertAlign w:val="subscript"/>
        </w:rPr>
        <w:t xml:space="preserve">1 </w:t>
      </w:r>
      <w:r w:rsidRPr="00B8097E">
        <w:rPr>
          <w:sz w:val="24"/>
        </w:rPr>
        <w:t>(S</w:t>
      </w:r>
      <w:r w:rsidRPr="00B8097E">
        <w:rPr>
          <w:sz w:val="24"/>
          <w:vertAlign w:val="subscript"/>
        </w:rPr>
        <w:t>t</w:t>
      </w:r>
      <w:r w:rsidRPr="00B8097E">
        <w:rPr>
          <w:sz w:val="24"/>
        </w:rPr>
        <w:t>/ A</w:t>
      </w:r>
      <w:r w:rsidRPr="00B8097E">
        <w:rPr>
          <w:sz w:val="24"/>
          <w:vertAlign w:val="subscript"/>
        </w:rPr>
        <w:t>t-1</w:t>
      </w:r>
      <w:r w:rsidRPr="00B8097E">
        <w:rPr>
          <w:sz w:val="24"/>
        </w:rPr>
        <w:t>) + β</w:t>
      </w:r>
      <w:r w:rsidRPr="00B8097E">
        <w:rPr>
          <w:sz w:val="24"/>
          <w:vertAlign w:val="subscript"/>
        </w:rPr>
        <w:t xml:space="preserve">2 </w:t>
      </w:r>
      <w:r w:rsidRPr="00B8097E">
        <w:rPr>
          <w:b/>
          <w:sz w:val="24"/>
        </w:rPr>
        <w:t>(∆S/</w:t>
      </w:r>
      <w:r w:rsidRPr="00B8097E">
        <w:rPr>
          <w:sz w:val="24"/>
        </w:rPr>
        <w:t xml:space="preserve"> A</w:t>
      </w:r>
      <w:r w:rsidRPr="00B8097E">
        <w:rPr>
          <w:sz w:val="24"/>
          <w:vertAlign w:val="subscript"/>
        </w:rPr>
        <w:t>t-1</w:t>
      </w:r>
      <w:r w:rsidRPr="00B8097E">
        <w:rPr>
          <w:b/>
          <w:sz w:val="24"/>
        </w:rPr>
        <w:t xml:space="preserve">)+ </w:t>
      </w:r>
      <w:proofErr w:type="spellStart"/>
      <w:r w:rsidRPr="00B8097E">
        <w:rPr>
          <w:sz w:val="24"/>
        </w:rPr>
        <w:t>Ɛ</w:t>
      </w:r>
      <w:r w:rsidRPr="00B8097E">
        <w:rPr>
          <w:sz w:val="24"/>
          <w:vertAlign w:val="subscript"/>
        </w:rPr>
        <w:t>t</w:t>
      </w:r>
      <w:proofErr w:type="spellEnd"/>
      <w:r w:rsidRPr="00B8097E">
        <w:rPr>
          <w:sz w:val="24"/>
          <w:vertAlign w:val="subscript"/>
        </w:rPr>
        <w:t xml:space="preserve">          </w:t>
      </w:r>
    </w:p>
    <w:p w14:paraId="0B996A59" w14:textId="77777777" w:rsidR="00C16CE7" w:rsidRPr="00B8097E" w:rsidRDefault="00AF6B18" w:rsidP="003C7A42">
      <w:pPr>
        <w:autoSpaceDE w:val="0"/>
        <w:autoSpaceDN w:val="0"/>
        <w:adjustRightInd w:val="0"/>
        <w:ind w:firstLine="708"/>
        <w:rPr>
          <w:sz w:val="24"/>
        </w:rPr>
      </w:pPr>
      <w:r w:rsidRPr="00B8097E">
        <w:rPr>
          <w:sz w:val="24"/>
        </w:rPr>
        <w:t>Where:</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
        <w:gridCol w:w="7603"/>
      </w:tblGrid>
      <w:tr w:rsidR="00C16CE7" w:rsidRPr="00B8097E" w14:paraId="5C7A7479" w14:textId="77777777" w:rsidTr="00C16CE7">
        <w:tc>
          <w:tcPr>
            <w:tcW w:w="606" w:type="dxa"/>
          </w:tcPr>
          <w:p w14:paraId="17919CE5" w14:textId="77777777" w:rsidR="00C16CE7" w:rsidRPr="00B8097E" w:rsidRDefault="00C16CE7" w:rsidP="003C7A42">
            <w:pPr>
              <w:autoSpaceDE w:val="0"/>
              <w:autoSpaceDN w:val="0"/>
              <w:adjustRightInd w:val="0"/>
              <w:rPr>
                <w:sz w:val="24"/>
              </w:rPr>
            </w:pPr>
            <w:r w:rsidRPr="00B8097E">
              <w:rPr>
                <w:sz w:val="24"/>
              </w:rPr>
              <w:t>CFO</w:t>
            </w:r>
          </w:p>
        </w:tc>
        <w:tc>
          <w:tcPr>
            <w:tcW w:w="7603" w:type="dxa"/>
          </w:tcPr>
          <w:p w14:paraId="483CB862" w14:textId="77777777" w:rsidR="00C16CE7" w:rsidRPr="00B8097E" w:rsidRDefault="00C16CE7" w:rsidP="003C7A42">
            <w:pPr>
              <w:autoSpaceDE w:val="0"/>
              <w:autoSpaceDN w:val="0"/>
              <w:adjustRightInd w:val="0"/>
              <w:jc w:val="left"/>
              <w:rPr>
                <w:sz w:val="24"/>
              </w:rPr>
            </w:pPr>
            <w:r w:rsidRPr="00B8097E">
              <w:rPr>
                <w:sz w:val="24"/>
              </w:rPr>
              <w:t>=  cash flow from operation</w:t>
            </w:r>
          </w:p>
        </w:tc>
      </w:tr>
      <w:tr w:rsidR="00C16CE7" w:rsidRPr="00B8097E" w14:paraId="228BFE50" w14:textId="77777777" w:rsidTr="00C16CE7">
        <w:tc>
          <w:tcPr>
            <w:tcW w:w="606" w:type="dxa"/>
          </w:tcPr>
          <w:p w14:paraId="60D31CDF" w14:textId="77777777" w:rsidR="00C16CE7" w:rsidRPr="00B8097E" w:rsidRDefault="00C16CE7" w:rsidP="003C7A42">
            <w:pPr>
              <w:autoSpaceDE w:val="0"/>
              <w:autoSpaceDN w:val="0"/>
              <w:adjustRightInd w:val="0"/>
              <w:rPr>
                <w:sz w:val="24"/>
                <w:vertAlign w:val="subscript"/>
              </w:rPr>
            </w:pPr>
            <w:r w:rsidRPr="00B8097E">
              <w:rPr>
                <w:sz w:val="24"/>
              </w:rPr>
              <w:t>A</w:t>
            </w:r>
            <w:r w:rsidRPr="00B8097E">
              <w:rPr>
                <w:sz w:val="24"/>
                <w:vertAlign w:val="subscript"/>
              </w:rPr>
              <w:t>t-1</w:t>
            </w:r>
          </w:p>
        </w:tc>
        <w:tc>
          <w:tcPr>
            <w:tcW w:w="7603" w:type="dxa"/>
          </w:tcPr>
          <w:p w14:paraId="1E078BD4" w14:textId="77777777" w:rsidR="00C16CE7" w:rsidRPr="00B8097E" w:rsidRDefault="00C16CE7" w:rsidP="003C7A42">
            <w:pPr>
              <w:autoSpaceDE w:val="0"/>
              <w:autoSpaceDN w:val="0"/>
              <w:adjustRightInd w:val="0"/>
              <w:jc w:val="left"/>
              <w:rPr>
                <w:sz w:val="24"/>
              </w:rPr>
            </w:pPr>
            <w:r w:rsidRPr="00B8097E">
              <w:rPr>
                <w:sz w:val="24"/>
              </w:rPr>
              <w:t>=  total assets for the previous year</w:t>
            </w:r>
          </w:p>
        </w:tc>
      </w:tr>
      <w:tr w:rsidR="00C16CE7" w:rsidRPr="00B8097E" w14:paraId="6D3E0383" w14:textId="77777777" w:rsidTr="00C16CE7">
        <w:tc>
          <w:tcPr>
            <w:tcW w:w="606" w:type="dxa"/>
          </w:tcPr>
          <w:p w14:paraId="6FA802AD" w14:textId="77777777" w:rsidR="00C16CE7" w:rsidRPr="00B8097E" w:rsidRDefault="00C16CE7" w:rsidP="003C7A42">
            <w:pPr>
              <w:autoSpaceDE w:val="0"/>
              <w:autoSpaceDN w:val="0"/>
              <w:adjustRightInd w:val="0"/>
              <w:rPr>
                <w:sz w:val="24"/>
                <w:vertAlign w:val="subscript"/>
              </w:rPr>
            </w:pPr>
            <w:r w:rsidRPr="00B8097E">
              <w:rPr>
                <w:sz w:val="24"/>
              </w:rPr>
              <w:lastRenderedPageBreak/>
              <w:t>S</w:t>
            </w:r>
            <w:r w:rsidRPr="00B8097E">
              <w:rPr>
                <w:sz w:val="24"/>
                <w:vertAlign w:val="subscript"/>
              </w:rPr>
              <w:t>t</w:t>
            </w:r>
          </w:p>
        </w:tc>
        <w:tc>
          <w:tcPr>
            <w:tcW w:w="7603" w:type="dxa"/>
          </w:tcPr>
          <w:p w14:paraId="1B7B88DB" w14:textId="77777777" w:rsidR="00C16CE7" w:rsidRPr="00B8097E" w:rsidRDefault="00C16CE7" w:rsidP="003C7A42">
            <w:pPr>
              <w:tabs>
                <w:tab w:val="center" w:pos="3693"/>
              </w:tabs>
              <w:autoSpaceDE w:val="0"/>
              <w:autoSpaceDN w:val="0"/>
              <w:adjustRightInd w:val="0"/>
              <w:ind w:left="-250" w:firstLine="250"/>
              <w:rPr>
                <w:sz w:val="24"/>
              </w:rPr>
            </w:pPr>
            <w:r w:rsidRPr="00B8097E">
              <w:rPr>
                <w:sz w:val="24"/>
              </w:rPr>
              <w:t>=  sales for a current year</w:t>
            </w:r>
            <w:r w:rsidRPr="00B8097E">
              <w:rPr>
                <w:sz w:val="24"/>
              </w:rPr>
              <w:tab/>
            </w:r>
          </w:p>
        </w:tc>
      </w:tr>
      <w:tr w:rsidR="00C16CE7" w:rsidRPr="00B8097E" w14:paraId="2B967491" w14:textId="77777777" w:rsidTr="00C16CE7">
        <w:tc>
          <w:tcPr>
            <w:tcW w:w="606" w:type="dxa"/>
          </w:tcPr>
          <w:p w14:paraId="7F199D24" w14:textId="77777777" w:rsidR="00C16CE7" w:rsidRPr="00B8097E" w:rsidRDefault="00C16CE7" w:rsidP="003C7A42">
            <w:pPr>
              <w:autoSpaceDE w:val="0"/>
              <w:autoSpaceDN w:val="0"/>
              <w:adjustRightInd w:val="0"/>
              <w:rPr>
                <w:sz w:val="24"/>
              </w:rPr>
            </w:pPr>
            <w:r w:rsidRPr="00B8097E">
              <w:rPr>
                <w:sz w:val="24"/>
              </w:rPr>
              <w:t xml:space="preserve">∆S   </w:t>
            </w:r>
          </w:p>
        </w:tc>
        <w:tc>
          <w:tcPr>
            <w:tcW w:w="7603" w:type="dxa"/>
          </w:tcPr>
          <w:p w14:paraId="14AE654B" w14:textId="77777777" w:rsidR="00C16CE7" w:rsidRPr="00B8097E" w:rsidRDefault="00C16CE7" w:rsidP="003C7A42">
            <w:pPr>
              <w:autoSpaceDE w:val="0"/>
              <w:autoSpaceDN w:val="0"/>
              <w:adjustRightInd w:val="0"/>
              <w:ind w:left="199" w:hanging="199"/>
              <w:jc w:val="left"/>
              <w:rPr>
                <w:sz w:val="24"/>
              </w:rPr>
            </w:pPr>
            <w:r w:rsidRPr="00B8097E">
              <w:rPr>
                <w:sz w:val="24"/>
              </w:rPr>
              <w:t>=  changes in sales which calculated as sales in current year minus sales in a previous year</w:t>
            </w:r>
          </w:p>
          <w:p w14:paraId="0170A16D" w14:textId="77777777" w:rsidR="00C16CE7" w:rsidRDefault="00C16CE7" w:rsidP="003C7A42">
            <w:pPr>
              <w:autoSpaceDE w:val="0"/>
              <w:autoSpaceDN w:val="0"/>
              <w:adjustRightInd w:val="0"/>
              <w:rPr>
                <w:sz w:val="24"/>
              </w:rPr>
            </w:pPr>
          </w:p>
          <w:p w14:paraId="58ED8865" w14:textId="77777777" w:rsidR="00E51E6B" w:rsidRPr="00B8097E" w:rsidRDefault="00E51E6B" w:rsidP="003C7A42">
            <w:pPr>
              <w:autoSpaceDE w:val="0"/>
              <w:autoSpaceDN w:val="0"/>
              <w:adjustRightInd w:val="0"/>
              <w:rPr>
                <w:sz w:val="24"/>
              </w:rPr>
            </w:pPr>
          </w:p>
        </w:tc>
      </w:tr>
    </w:tbl>
    <w:p w14:paraId="4602B6DE" w14:textId="77777777" w:rsidR="003C7A42" w:rsidRPr="00B8097E" w:rsidRDefault="00C038AE" w:rsidP="00B8097E">
      <w:pPr>
        <w:ind w:firstLine="720"/>
        <w:rPr>
          <w:sz w:val="24"/>
        </w:rPr>
      </w:pPr>
      <w:r w:rsidRPr="00B8097E">
        <w:rPr>
          <w:sz w:val="24"/>
        </w:rPr>
        <w:t xml:space="preserve">ACCOMPETENCE </w:t>
      </w:r>
      <w:r w:rsidR="0069624B" w:rsidRPr="00B8097E">
        <w:rPr>
          <w:sz w:val="24"/>
        </w:rPr>
        <w:t xml:space="preserve">is </w:t>
      </w:r>
      <w:r w:rsidR="00160FDF" w:rsidRPr="00B8097E">
        <w:rPr>
          <w:sz w:val="24"/>
        </w:rPr>
        <w:t xml:space="preserve">AC competence. It is </w:t>
      </w:r>
      <w:r w:rsidR="0069624B" w:rsidRPr="00B8097E">
        <w:rPr>
          <w:sz w:val="24"/>
        </w:rPr>
        <w:t>th</w:t>
      </w:r>
      <w:r w:rsidR="00B823E4" w:rsidRPr="00B8097E">
        <w:rPr>
          <w:sz w:val="24"/>
        </w:rPr>
        <w:t>e percentage</w:t>
      </w:r>
      <w:r w:rsidR="0069624B" w:rsidRPr="00B8097E">
        <w:rPr>
          <w:sz w:val="24"/>
        </w:rPr>
        <w:t xml:space="preserve"> of AC members who have accounting or finance background or experience. </w:t>
      </w:r>
      <w:r w:rsidR="00645025" w:rsidRPr="00B8097E">
        <w:rPr>
          <w:sz w:val="24"/>
        </w:rPr>
        <w:t>ACINDEPENDENCE</w:t>
      </w:r>
      <w:r w:rsidRPr="00B8097E">
        <w:rPr>
          <w:sz w:val="24"/>
        </w:rPr>
        <w:t xml:space="preserve"> </w:t>
      </w:r>
      <w:r w:rsidR="00B823E4" w:rsidRPr="00B8097E">
        <w:rPr>
          <w:sz w:val="24"/>
        </w:rPr>
        <w:t>is</w:t>
      </w:r>
      <w:r w:rsidR="00160FDF" w:rsidRPr="00B8097E">
        <w:rPr>
          <w:sz w:val="24"/>
        </w:rPr>
        <w:t xml:space="preserve"> AC independence which is measured by </w:t>
      </w:r>
      <w:r w:rsidR="00B823E4" w:rsidRPr="00B8097E">
        <w:rPr>
          <w:sz w:val="24"/>
        </w:rPr>
        <w:t xml:space="preserve">the number of AC members who are independent directors. </w:t>
      </w:r>
      <w:r w:rsidRPr="00B8097E">
        <w:rPr>
          <w:sz w:val="24"/>
        </w:rPr>
        <w:t xml:space="preserve">ACMEETING </w:t>
      </w:r>
      <w:r w:rsidR="005E6D45" w:rsidRPr="00B8097E">
        <w:rPr>
          <w:sz w:val="24"/>
        </w:rPr>
        <w:t>is</w:t>
      </w:r>
      <w:r w:rsidR="00160FDF" w:rsidRPr="00B8097E">
        <w:rPr>
          <w:sz w:val="24"/>
        </w:rPr>
        <w:t xml:space="preserve"> AC meeting which is measured</w:t>
      </w:r>
      <w:r w:rsidR="005E6D45" w:rsidRPr="00B8097E">
        <w:rPr>
          <w:sz w:val="24"/>
        </w:rPr>
        <w:t xml:space="preserve"> the number </w:t>
      </w:r>
      <w:r w:rsidR="00E448FE" w:rsidRPr="00B8097E">
        <w:rPr>
          <w:sz w:val="24"/>
        </w:rPr>
        <w:t xml:space="preserve">of meeting held during the year, and ACSIZE is </w:t>
      </w:r>
      <w:r w:rsidR="00160FDF" w:rsidRPr="00B8097E">
        <w:rPr>
          <w:sz w:val="24"/>
        </w:rPr>
        <w:t>AC size</w:t>
      </w:r>
      <w:r w:rsidR="00092574" w:rsidRPr="00B8097E">
        <w:rPr>
          <w:sz w:val="24"/>
        </w:rPr>
        <w:t xml:space="preserve">. We measure AC size as </w:t>
      </w:r>
      <w:r w:rsidR="00E448FE" w:rsidRPr="00B8097E">
        <w:rPr>
          <w:sz w:val="24"/>
        </w:rPr>
        <w:t xml:space="preserve">the number of AC members. </w:t>
      </w:r>
    </w:p>
    <w:p w14:paraId="712E3478" w14:textId="77777777" w:rsidR="00AF6B18" w:rsidRPr="00B8097E" w:rsidRDefault="00B823E4" w:rsidP="003C7A42">
      <w:pPr>
        <w:rPr>
          <w:sz w:val="24"/>
        </w:rPr>
      </w:pPr>
      <w:r w:rsidRPr="00B8097E">
        <w:rPr>
          <w:sz w:val="24"/>
        </w:rPr>
        <w:t xml:space="preserve"> </w:t>
      </w:r>
    </w:p>
    <w:p w14:paraId="149FC6EC" w14:textId="77777777" w:rsidR="00AE0B3D" w:rsidRPr="00B8097E" w:rsidRDefault="00AE0B3D" w:rsidP="003C7A42">
      <w:pPr>
        <w:rPr>
          <w:sz w:val="24"/>
        </w:rPr>
      </w:pPr>
    </w:p>
    <w:p w14:paraId="509F11CB" w14:textId="77777777" w:rsidR="00493679" w:rsidRPr="00B8097E" w:rsidRDefault="00E65176" w:rsidP="00B8097E">
      <w:pPr>
        <w:jc w:val="center"/>
        <w:rPr>
          <w:b/>
          <w:sz w:val="24"/>
        </w:rPr>
      </w:pPr>
      <w:r w:rsidRPr="00B8097E">
        <w:rPr>
          <w:b/>
          <w:sz w:val="24"/>
        </w:rPr>
        <w:t>RESULTS</w:t>
      </w:r>
    </w:p>
    <w:p w14:paraId="017A6C38" w14:textId="77777777" w:rsidR="00493679" w:rsidRPr="00B8097E" w:rsidRDefault="00493679" w:rsidP="003C7A42">
      <w:pPr>
        <w:rPr>
          <w:b/>
          <w:sz w:val="24"/>
        </w:rPr>
      </w:pPr>
    </w:p>
    <w:p w14:paraId="50966128" w14:textId="77777777" w:rsidR="003C7A42" w:rsidRPr="00B8097E" w:rsidRDefault="003C7A42" w:rsidP="003C7A42">
      <w:pPr>
        <w:rPr>
          <w:b/>
          <w:sz w:val="24"/>
        </w:rPr>
      </w:pPr>
    </w:p>
    <w:p w14:paraId="341A19F1" w14:textId="77777777" w:rsidR="00527477" w:rsidRDefault="00CD3E4A" w:rsidP="003C7A42">
      <w:pPr>
        <w:rPr>
          <w:sz w:val="24"/>
        </w:rPr>
      </w:pPr>
      <w:r w:rsidRPr="00B8097E">
        <w:rPr>
          <w:sz w:val="24"/>
        </w:rPr>
        <w:t>Table 1 presents the descrip</w:t>
      </w:r>
      <w:r w:rsidR="00185AAB" w:rsidRPr="00B8097E">
        <w:rPr>
          <w:sz w:val="24"/>
        </w:rPr>
        <w:t>tive statistics</w:t>
      </w:r>
      <w:r w:rsidRPr="00B8097E">
        <w:rPr>
          <w:sz w:val="24"/>
        </w:rPr>
        <w:t xml:space="preserve">. </w:t>
      </w:r>
      <w:r w:rsidR="0092060A" w:rsidRPr="00B8097E">
        <w:rPr>
          <w:sz w:val="24"/>
        </w:rPr>
        <w:t>Real e</w:t>
      </w:r>
      <w:r w:rsidRPr="00B8097E">
        <w:rPr>
          <w:sz w:val="24"/>
        </w:rPr>
        <w:t xml:space="preserve">arnings management has a minimum value of 0.001 and a maximum value of 4.742 with mean of 0.698. </w:t>
      </w:r>
      <w:r w:rsidR="00AD5562" w:rsidRPr="00B8097E">
        <w:rPr>
          <w:sz w:val="24"/>
        </w:rPr>
        <w:t xml:space="preserve">The mean of </w:t>
      </w:r>
      <w:r w:rsidRPr="00B8097E">
        <w:rPr>
          <w:sz w:val="24"/>
        </w:rPr>
        <w:t>AC competence</w:t>
      </w:r>
      <w:r w:rsidR="00AD5562" w:rsidRPr="00B8097E">
        <w:rPr>
          <w:sz w:val="24"/>
        </w:rPr>
        <w:t xml:space="preserve"> is 0.377 which indicates that many AC members are not financial expertise. AC independence has a mean value of 2.979. </w:t>
      </w:r>
      <w:r w:rsidR="00E448FE" w:rsidRPr="00B8097E">
        <w:rPr>
          <w:sz w:val="24"/>
        </w:rPr>
        <w:t xml:space="preserve">The mean values for AC meeting and AC size are 5.046 and 3.228, respectively. </w:t>
      </w:r>
    </w:p>
    <w:p w14:paraId="686212C2" w14:textId="77777777" w:rsidR="00E51E6B" w:rsidRDefault="00E51E6B" w:rsidP="003C7A42">
      <w:pPr>
        <w:rPr>
          <w:sz w:val="24"/>
        </w:rPr>
      </w:pPr>
    </w:p>
    <w:p w14:paraId="15767F03" w14:textId="77777777" w:rsidR="00E51E6B" w:rsidRDefault="00E51E6B" w:rsidP="003C7A42">
      <w:pPr>
        <w:rPr>
          <w:sz w:val="24"/>
        </w:rPr>
      </w:pPr>
    </w:p>
    <w:p w14:paraId="7DF34418" w14:textId="77777777" w:rsidR="00E51E6B" w:rsidRPr="00B8097E" w:rsidRDefault="00E51E6B" w:rsidP="00E51E6B">
      <w:pPr>
        <w:ind w:firstLine="720"/>
        <w:rPr>
          <w:sz w:val="24"/>
        </w:rPr>
      </w:pPr>
      <w:r w:rsidRPr="00B8097E">
        <w:rPr>
          <w:sz w:val="24"/>
        </w:rPr>
        <w:t>Table 2 presents the regression results for real earnings management on AC competence, AC independence, AC meeting and AC size. The adjusted R</w:t>
      </w:r>
      <w:r w:rsidRPr="00B8097E">
        <w:rPr>
          <w:sz w:val="24"/>
          <w:vertAlign w:val="superscript"/>
        </w:rPr>
        <w:t>2</w:t>
      </w:r>
      <w:r w:rsidRPr="00B8097E">
        <w:rPr>
          <w:sz w:val="24"/>
        </w:rPr>
        <w:t xml:space="preserve"> is 0.01. It shows that AC competence has a significant and negative relationship with earnings management at 5 percent level. The coefficient is -0.249.The result suggests that AC members who are financially literate are able to detect and reduce the activities of real earnings management. Therefore, the results confirm hypothesis 1 that states AC competence is negatively related to real earnings management. Furthermore, the results show that the coefficient on AC independence is -0.007. However, the relationship between AC independence and real earnings management is not statistically significant. It appears that AC independence is not an important factor to address real earnings management. Hence, hypothesis 2 that states AC independence is negatively related to real earnings management is rejected. </w:t>
      </w:r>
    </w:p>
    <w:p w14:paraId="78883AC9" w14:textId="77777777" w:rsidR="00E51E6B" w:rsidRPr="00B8097E" w:rsidRDefault="00E51E6B" w:rsidP="003C7A42">
      <w:pPr>
        <w:rPr>
          <w:sz w:val="24"/>
        </w:rPr>
      </w:pPr>
    </w:p>
    <w:p w14:paraId="1D442AC8" w14:textId="77777777" w:rsidR="00527477" w:rsidRPr="00B8097E" w:rsidRDefault="00527477" w:rsidP="003C7A42">
      <w:pPr>
        <w:rPr>
          <w:sz w:val="24"/>
        </w:rPr>
      </w:pPr>
    </w:p>
    <w:p w14:paraId="5B29F493" w14:textId="77777777" w:rsidR="00B8097E" w:rsidRPr="00B8097E" w:rsidRDefault="00B8097E" w:rsidP="003C7A42">
      <w:pPr>
        <w:pStyle w:val="NoSpacing"/>
        <w:jc w:val="center"/>
        <w:rPr>
          <w:b/>
          <w:sz w:val="24"/>
        </w:rPr>
      </w:pPr>
    </w:p>
    <w:p w14:paraId="739894E6" w14:textId="77777777" w:rsidR="00AE0B3D" w:rsidRPr="00B8097E" w:rsidRDefault="00AE0B3D" w:rsidP="003C7A42">
      <w:pPr>
        <w:pStyle w:val="NoSpacing"/>
        <w:jc w:val="center"/>
        <w:rPr>
          <w:b/>
          <w:sz w:val="20"/>
          <w:szCs w:val="20"/>
        </w:rPr>
      </w:pPr>
      <w:r w:rsidRPr="00B8097E">
        <w:rPr>
          <w:b/>
          <w:sz w:val="20"/>
          <w:szCs w:val="20"/>
        </w:rPr>
        <w:t>Table 1: Descriptive Statistics</w:t>
      </w:r>
    </w:p>
    <w:p w14:paraId="3F95322B" w14:textId="77777777" w:rsidR="00B8097E" w:rsidRPr="00B8097E" w:rsidRDefault="00B8097E" w:rsidP="003C7A42">
      <w:pPr>
        <w:pStyle w:val="NoSpacing"/>
        <w:jc w:val="center"/>
        <w:rPr>
          <w:b/>
          <w:sz w:val="20"/>
          <w:szCs w:val="20"/>
        </w:rPr>
      </w:pPr>
    </w:p>
    <w:tbl>
      <w:tblPr>
        <w:tblW w:w="6966" w:type="dxa"/>
        <w:tblInd w:w="709" w:type="dxa"/>
        <w:tblLook w:val="04A0" w:firstRow="1" w:lastRow="0" w:firstColumn="1" w:lastColumn="0" w:noHBand="0" w:noVBand="1"/>
      </w:tblPr>
      <w:tblGrid>
        <w:gridCol w:w="2693"/>
        <w:gridCol w:w="1080"/>
        <w:gridCol w:w="1170"/>
        <w:gridCol w:w="1170"/>
        <w:gridCol w:w="853"/>
      </w:tblGrid>
      <w:tr w:rsidR="00AE0B3D" w:rsidRPr="00B8097E" w14:paraId="03C3AD55" w14:textId="77777777" w:rsidTr="00493679">
        <w:tc>
          <w:tcPr>
            <w:tcW w:w="2693" w:type="dxa"/>
            <w:tcBorders>
              <w:top w:val="single" w:sz="4" w:space="0" w:color="auto"/>
              <w:bottom w:val="single" w:sz="4" w:space="0" w:color="auto"/>
            </w:tcBorders>
          </w:tcPr>
          <w:p w14:paraId="59B263C7" w14:textId="77777777" w:rsidR="00AE0B3D" w:rsidRPr="00B8097E" w:rsidRDefault="00AE0B3D" w:rsidP="003C7A42">
            <w:pPr>
              <w:pStyle w:val="NoSpacing"/>
              <w:ind w:left="-108" w:firstLine="108"/>
              <w:jc w:val="center"/>
              <w:rPr>
                <w:sz w:val="20"/>
                <w:szCs w:val="20"/>
              </w:rPr>
            </w:pPr>
            <w:r w:rsidRPr="00B8097E">
              <w:rPr>
                <w:sz w:val="20"/>
                <w:szCs w:val="20"/>
              </w:rPr>
              <w:t>Variables</w:t>
            </w:r>
          </w:p>
        </w:tc>
        <w:tc>
          <w:tcPr>
            <w:tcW w:w="1080" w:type="dxa"/>
            <w:tcBorders>
              <w:top w:val="single" w:sz="4" w:space="0" w:color="auto"/>
              <w:bottom w:val="single" w:sz="4" w:space="0" w:color="auto"/>
            </w:tcBorders>
          </w:tcPr>
          <w:p w14:paraId="2BAAA010" w14:textId="77777777" w:rsidR="00AE0B3D" w:rsidRPr="00B8097E" w:rsidRDefault="00AE0B3D" w:rsidP="003C7A42">
            <w:pPr>
              <w:pStyle w:val="NoSpacing"/>
              <w:jc w:val="center"/>
              <w:rPr>
                <w:sz w:val="20"/>
                <w:szCs w:val="20"/>
              </w:rPr>
            </w:pPr>
            <w:r w:rsidRPr="00B8097E">
              <w:rPr>
                <w:sz w:val="20"/>
                <w:szCs w:val="20"/>
              </w:rPr>
              <w:t>Mean</w:t>
            </w:r>
          </w:p>
        </w:tc>
        <w:tc>
          <w:tcPr>
            <w:tcW w:w="1170" w:type="dxa"/>
            <w:tcBorders>
              <w:top w:val="single" w:sz="4" w:space="0" w:color="auto"/>
              <w:bottom w:val="single" w:sz="4" w:space="0" w:color="auto"/>
            </w:tcBorders>
          </w:tcPr>
          <w:p w14:paraId="4BCB4653" w14:textId="77777777" w:rsidR="00AE0B3D" w:rsidRPr="00B8097E" w:rsidRDefault="00AE0B3D" w:rsidP="003C7A42">
            <w:pPr>
              <w:pStyle w:val="NoSpacing"/>
              <w:jc w:val="center"/>
              <w:rPr>
                <w:sz w:val="20"/>
                <w:szCs w:val="20"/>
              </w:rPr>
            </w:pPr>
            <w:r w:rsidRPr="00B8097E">
              <w:rPr>
                <w:sz w:val="20"/>
                <w:szCs w:val="20"/>
              </w:rPr>
              <w:t>Median</w:t>
            </w:r>
          </w:p>
        </w:tc>
        <w:tc>
          <w:tcPr>
            <w:tcW w:w="1170" w:type="dxa"/>
            <w:tcBorders>
              <w:top w:val="single" w:sz="4" w:space="0" w:color="auto"/>
              <w:bottom w:val="single" w:sz="4" w:space="0" w:color="auto"/>
            </w:tcBorders>
          </w:tcPr>
          <w:p w14:paraId="5055C70D" w14:textId="77777777" w:rsidR="00AE0B3D" w:rsidRPr="00B8097E" w:rsidRDefault="00AE0B3D" w:rsidP="003C7A42">
            <w:pPr>
              <w:pStyle w:val="NoSpacing"/>
              <w:jc w:val="center"/>
              <w:rPr>
                <w:sz w:val="20"/>
                <w:szCs w:val="20"/>
              </w:rPr>
            </w:pPr>
            <w:r w:rsidRPr="00B8097E">
              <w:rPr>
                <w:sz w:val="20"/>
                <w:szCs w:val="20"/>
              </w:rPr>
              <w:t>Min</w:t>
            </w:r>
          </w:p>
        </w:tc>
        <w:tc>
          <w:tcPr>
            <w:tcW w:w="853" w:type="dxa"/>
            <w:tcBorders>
              <w:top w:val="single" w:sz="4" w:space="0" w:color="auto"/>
              <w:bottom w:val="single" w:sz="4" w:space="0" w:color="auto"/>
            </w:tcBorders>
          </w:tcPr>
          <w:p w14:paraId="05C222F4" w14:textId="77777777" w:rsidR="00AE0B3D" w:rsidRPr="00B8097E" w:rsidRDefault="00AE0B3D" w:rsidP="003C7A42">
            <w:pPr>
              <w:pStyle w:val="NoSpacing"/>
              <w:jc w:val="center"/>
              <w:rPr>
                <w:sz w:val="20"/>
                <w:szCs w:val="20"/>
              </w:rPr>
            </w:pPr>
            <w:r w:rsidRPr="00B8097E">
              <w:rPr>
                <w:sz w:val="20"/>
                <w:szCs w:val="20"/>
              </w:rPr>
              <w:t>Max</w:t>
            </w:r>
          </w:p>
        </w:tc>
      </w:tr>
      <w:tr w:rsidR="00AE0B3D" w:rsidRPr="00B8097E" w14:paraId="21703888" w14:textId="77777777" w:rsidTr="00493679">
        <w:tc>
          <w:tcPr>
            <w:tcW w:w="2693" w:type="dxa"/>
            <w:tcBorders>
              <w:top w:val="single" w:sz="4" w:space="0" w:color="auto"/>
            </w:tcBorders>
          </w:tcPr>
          <w:p w14:paraId="04DD3C52" w14:textId="77777777" w:rsidR="00AE0B3D" w:rsidRPr="00B8097E" w:rsidRDefault="0092060A" w:rsidP="003C7A42">
            <w:pPr>
              <w:pStyle w:val="NoSpacing"/>
              <w:tabs>
                <w:tab w:val="left" w:pos="720"/>
              </w:tabs>
              <w:jc w:val="both"/>
              <w:rPr>
                <w:sz w:val="20"/>
                <w:szCs w:val="20"/>
              </w:rPr>
            </w:pPr>
            <w:r w:rsidRPr="00B8097E">
              <w:rPr>
                <w:sz w:val="20"/>
                <w:szCs w:val="20"/>
              </w:rPr>
              <w:t>R</w:t>
            </w:r>
            <w:r w:rsidR="00BB163C" w:rsidRPr="00B8097E">
              <w:rPr>
                <w:sz w:val="20"/>
                <w:szCs w:val="20"/>
              </w:rPr>
              <w:t>EM</w:t>
            </w:r>
            <w:r w:rsidR="00E65176" w:rsidRPr="00B8097E">
              <w:rPr>
                <w:sz w:val="20"/>
                <w:szCs w:val="20"/>
              </w:rPr>
              <w:tab/>
            </w:r>
          </w:p>
        </w:tc>
        <w:tc>
          <w:tcPr>
            <w:tcW w:w="1080" w:type="dxa"/>
            <w:tcBorders>
              <w:top w:val="single" w:sz="4" w:space="0" w:color="auto"/>
            </w:tcBorders>
          </w:tcPr>
          <w:p w14:paraId="365FD03C" w14:textId="77777777" w:rsidR="00AE0B3D" w:rsidRPr="00B8097E" w:rsidRDefault="00E65176" w:rsidP="003C7A42">
            <w:pPr>
              <w:pStyle w:val="NoSpacing"/>
              <w:jc w:val="center"/>
              <w:rPr>
                <w:sz w:val="20"/>
                <w:szCs w:val="20"/>
              </w:rPr>
            </w:pPr>
            <w:r w:rsidRPr="00B8097E">
              <w:rPr>
                <w:sz w:val="20"/>
                <w:szCs w:val="20"/>
              </w:rPr>
              <w:t>0.698</w:t>
            </w:r>
          </w:p>
        </w:tc>
        <w:tc>
          <w:tcPr>
            <w:tcW w:w="1170" w:type="dxa"/>
            <w:tcBorders>
              <w:top w:val="single" w:sz="4" w:space="0" w:color="auto"/>
            </w:tcBorders>
          </w:tcPr>
          <w:p w14:paraId="14C45B5A" w14:textId="77777777" w:rsidR="00AE0B3D" w:rsidRPr="00B8097E" w:rsidRDefault="00E65176" w:rsidP="003C7A42">
            <w:pPr>
              <w:pStyle w:val="NoSpacing"/>
              <w:jc w:val="center"/>
              <w:rPr>
                <w:sz w:val="20"/>
                <w:szCs w:val="20"/>
              </w:rPr>
            </w:pPr>
            <w:r w:rsidRPr="00B8097E">
              <w:rPr>
                <w:sz w:val="20"/>
                <w:szCs w:val="20"/>
              </w:rPr>
              <w:t>0.552</w:t>
            </w:r>
          </w:p>
        </w:tc>
        <w:tc>
          <w:tcPr>
            <w:tcW w:w="1170" w:type="dxa"/>
            <w:tcBorders>
              <w:top w:val="single" w:sz="4" w:space="0" w:color="auto"/>
            </w:tcBorders>
          </w:tcPr>
          <w:p w14:paraId="4BF13F19" w14:textId="77777777" w:rsidR="00AE0B3D" w:rsidRPr="00B8097E" w:rsidRDefault="00E65176" w:rsidP="003C7A42">
            <w:pPr>
              <w:pStyle w:val="NoSpacing"/>
              <w:jc w:val="center"/>
              <w:rPr>
                <w:sz w:val="20"/>
                <w:szCs w:val="20"/>
              </w:rPr>
            </w:pPr>
            <w:r w:rsidRPr="00B8097E">
              <w:rPr>
                <w:sz w:val="20"/>
                <w:szCs w:val="20"/>
              </w:rPr>
              <w:t>0.001</w:t>
            </w:r>
          </w:p>
        </w:tc>
        <w:tc>
          <w:tcPr>
            <w:tcW w:w="853" w:type="dxa"/>
            <w:tcBorders>
              <w:top w:val="single" w:sz="4" w:space="0" w:color="auto"/>
            </w:tcBorders>
          </w:tcPr>
          <w:p w14:paraId="010E6CCA" w14:textId="77777777" w:rsidR="00AE0B3D" w:rsidRPr="00B8097E" w:rsidRDefault="00E65176" w:rsidP="003C7A42">
            <w:pPr>
              <w:pStyle w:val="NoSpacing"/>
              <w:jc w:val="center"/>
              <w:rPr>
                <w:sz w:val="20"/>
                <w:szCs w:val="20"/>
              </w:rPr>
            </w:pPr>
            <w:r w:rsidRPr="00B8097E">
              <w:rPr>
                <w:sz w:val="20"/>
                <w:szCs w:val="20"/>
              </w:rPr>
              <w:t>4.742</w:t>
            </w:r>
          </w:p>
        </w:tc>
      </w:tr>
      <w:tr w:rsidR="0069624B" w:rsidRPr="00B8097E" w14:paraId="27CAB457" w14:textId="77777777" w:rsidTr="00493679">
        <w:tc>
          <w:tcPr>
            <w:tcW w:w="2693" w:type="dxa"/>
          </w:tcPr>
          <w:p w14:paraId="69358741" w14:textId="77777777" w:rsidR="0069624B" w:rsidRPr="00B8097E" w:rsidRDefault="0069624B" w:rsidP="003C7A42">
            <w:pPr>
              <w:pStyle w:val="NoSpacing"/>
              <w:jc w:val="both"/>
              <w:rPr>
                <w:sz w:val="20"/>
                <w:szCs w:val="20"/>
              </w:rPr>
            </w:pPr>
            <w:r w:rsidRPr="00B8097E">
              <w:rPr>
                <w:sz w:val="20"/>
                <w:szCs w:val="20"/>
              </w:rPr>
              <w:t>ACCOMPETENCE</w:t>
            </w:r>
          </w:p>
        </w:tc>
        <w:tc>
          <w:tcPr>
            <w:tcW w:w="1080" w:type="dxa"/>
          </w:tcPr>
          <w:p w14:paraId="4592C9C1" w14:textId="77777777" w:rsidR="0069624B" w:rsidRPr="00B8097E" w:rsidRDefault="0069624B" w:rsidP="003C7A42">
            <w:pPr>
              <w:pStyle w:val="NoSpacing"/>
              <w:jc w:val="center"/>
              <w:rPr>
                <w:sz w:val="20"/>
                <w:szCs w:val="20"/>
              </w:rPr>
            </w:pPr>
            <w:r w:rsidRPr="00B8097E">
              <w:rPr>
                <w:sz w:val="20"/>
                <w:szCs w:val="20"/>
              </w:rPr>
              <w:t>0.377</w:t>
            </w:r>
          </w:p>
        </w:tc>
        <w:tc>
          <w:tcPr>
            <w:tcW w:w="1170" w:type="dxa"/>
          </w:tcPr>
          <w:p w14:paraId="2B52B9F2" w14:textId="77777777" w:rsidR="0069624B" w:rsidRPr="00B8097E" w:rsidRDefault="0069624B" w:rsidP="003C7A42">
            <w:pPr>
              <w:pStyle w:val="NoSpacing"/>
              <w:jc w:val="center"/>
              <w:rPr>
                <w:sz w:val="20"/>
                <w:szCs w:val="20"/>
              </w:rPr>
            </w:pPr>
            <w:r w:rsidRPr="00B8097E">
              <w:rPr>
                <w:sz w:val="20"/>
                <w:szCs w:val="20"/>
              </w:rPr>
              <w:t>0.333</w:t>
            </w:r>
          </w:p>
        </w:tc>
        <w:tc>
          <w:tcPr>
            <w:tcW w:w="1170" w:type="dxa"/>
          </w:tcPr>
          <w:p w14:paraId="1FB441AC" w14:textId="77777777" w:rsidR="0069624B" w:rsidRPr="00B8097E" w:rsidRDefault="0069624B" w:rsidP="003C7A42">
            <w:pPr>
              <w:pStyle w:val="NoSpacing"/>
              <w:jc w:val="center"/>
              <w:rPr>
                <w:sz w:val="20"/>
                <w:szCs w:val="20"/>
              </w:rPr>
            </w:pPr>
            <w:r w:rsidRPr="00B8097E">
              <w:rPr>
                <w:sz w:val="20"/>
                <w:szCs w:val="20"/>
              </w:rPr>
              <w:t>0.000</w:t>
            </w:r>
          </w:p>
        </w:tc>
        <w:tc>
          <w:tcPr>
            <w:tcW w:w="853" w:type="dxa"/>
          </w:tcPr>
          <w:p w14:paraId="61482545" w14:textId="77777777" w:rsidR="0069624B" w:rsidRPr="00B8097E" w:rsidRDefault="0069624B" w:rsidP="003C7A42">
            <w:pPr>
              <w:pStyle w:val="NoSpacing"/>
              <w:jc w:val="center"/>
              <w:rPr>
                <w:sz w:val="20"/>
                <w:szCs w:val="20"/>
              </w:rPr>
            </w:pPr>
            <w:r w:rsidRPr="00B8097E">
              <w:rPr>
                <w:sz w:val="20"/>
                <w:szCs w:val="20"/>
              </w:rPr>
              <w:t>1.000</w:t>
            </w:r>
          </w:p>
        </w:tc>
      </w:tr>
      <w:tr w:rsidR="0069624B" w:rsidRPr="00B8097E" w14:paraId="522ED1D4" w14:textId="77777777" w:rsidTr="00B303B9">
        <w:tc>
          <w:tcPr>
            <w:tcW w:w="2693" w:type="dxa"/>
          </w:tcPr>
          <w:p w14:paraId="26753324" w14:textId="77777777" w:rsidR="0069624B" w:rsidRPr="00B8097E" w:rsidRDefault="00B823E4" w:rsidP="003C7A42">
            <w:pPr>
              <w:pStyle w:val="NoSpacing"/>
              <w:jc w:val="both"/>
              <w:rPr>
                <w:sz w:val="20"/>
                <w:szCs w:val="20"/>
              </w:rPr>
            </w:pPr>
            <w:r w:rsidRPr="00B8097E">
              <w:rPr>
                <w:sz w:val="20"/>
                <w:szCs w:val="20"/>
              </w:rPr>
              <w:t>ACINDEPENDENCE</w:t>
            </w:r>
          </w:p>
        </w:tc>
        <w:tc>
          <w:tcPr>
            <w:tcW w:w="1080" w:type="dxa"/>
          </w:tcPr>
          <w:p w14:paraId="7937B521" w14:textId="77777777" w:rsidR="0069624B" w:rsidRPr="00B8097E" w:rsidRDefault="00B823E4" w:rsidP="003C7A42">
            <w:pPr>
              <w:pStyle w:val="NoSpacing"/>
              <w:jc w:val="center"/>
              <w:rPr>
                <w:sz w:val="20"/>
                <w:szCs w:val="20"/>
              </w:rPr>
            </w:pPr>
            <w:r w:rsidRPr="00B8097E">
              <w:rPr>
                <w:sz w:val="20"/>
                <w:szCs w:val="20"/>
              </w:rPr>
              <w:t>2.979</w:t>
            </w:r>
          </w:p>
        </w:tc>
        <w:tc>
          <w:tcPr>
            <w:tcW w:w="1170" w:type="dxa"/>
          </w:tcPr>
          <w:p w14:paraId="692CB702" w14:textId="77777777" w:rsidR="0069624B" w:rsidRPr="00B8097E" w:rsidRDefault="00B823E4" w:rsidP="003C7A42">
            <w:pPr>
              <w:pStyle w:val="NoSpacing"/>
              <w:jc w:val="center"/>
              <w:rPr>
                <w:sz w:val="20"/>
                <w:szCs w:val="20"/>
              </w:rPr>
            </w:pPr>
            <w:r w:rsidRPr="00B8097E">
              <w:rPr>
                <w:sz w:val="20"/>
                <w:szCs w:val="20"/>
              </w:rPr>
              <w:t>3.000</w:t>
            </w:r>
          </w:p>
        </w:tc>
        <w:tc>
          <w:tcPr>
            <w:tcW w:w="1170" w:type="dxa"/>
          </w:tcPr>
          <w:p w14:paraId="7375CA06" w14:textId="77777777" w:rsidR="0069624B" w:rsidRPr="00B8097E" w:rsidRDefault="00B823E4" w:rsidP="003C7A42">
            <w:pPr>
              <w:pStyle w:val="NoSpacing"/>
              <w:jc w:val="center"/>
              <w:rPr>
                <w:sz w:val="20"/>
                <w:szCs w:val="20"/>
              </w:rPr>
            </w:pPr>
            <w:r w:rsidRPr="00B8097E">
              <w:rPr>
                <w:sz w:val="20"/>
                <w:szCs w:val="20"/>
              </w:rPr>
              <w:t>0.000</w:t>
            </w:r>
          </w:p>
        </w:tc>
        <w:tc>
          <w:tcPr>
            <w:tcW w:w="853" w:type="dxa"/>
          </w:tcPr>
          <w:p w14:paraId="08D44384" w14:textId="77777777" w:rsidR="0069624B" w:rsidRPr="00B8097E" w:rsidRDefault="00B823E4" w:rsidP="003C7A42">
            <w:pPr>
              <w:pStyle w:val="NoSpacing"/>
              <w:jc w:val="center"/>
              <w:rPr>
                <w:sz w:val="20"/>
                <w:szCs w:val="20"/>
              </w:rPr>
            </w:pPr>
            <w:r w:rsidRPr="00B8097E">
              <w:rPr>
                <w:sz w:val="20"/>
                <w:szCs w:val="20"/>
              </w:rPr>
              <w:t>6.000</w:t>
            </w:r>
          </w:p>
        </w:tc>
      </w:tr>
      <w:tr w:rsidR="0069624B" w:rsidRPr="00B8097E" w14:paraId="5FDEF3C0" w14:textId="77777777" w:rsidTr="00E448FE">
        <w:tc>
          <w:tcPr>
            <w:tcW w:w="2693" w:type="dxa"/>
          </w:tcPr>
          <w:p w14:paraId="693498AA" w14:textId="77777777" w:rsidR="0069624B" w:rsidRPr="00B8097E" w:rsidRDefault="0069624B" w:rsidP="003C7A42">
            <w:pPr>
              <w:pStyle w:val="NoSpacing"/>
              <w:jc w:val="both"/>
              <w:rPr>
                <w:sz w:val="20"/>
                <w:szCs w:val="20"/>
              </w:rPr>
            </w:pPr>
            <w:r w:rsidRPr="00B8097E">
              <w:rPr>
                <w:sz w:val="20"/>
                <w:szCs w:val="20"/>
              </w:rPr>
              <w:t>ACMEETING</w:t>
            </w:r>
          </w:p>
        </w:tc>
        <w:tc>
          <w:tcPr>
            <w:tcW w:w="1080" w:type="dxa"/>
          </w:tcPr>
          <w:p w14:paraId="21D1AC1E" w14:textId="77777777" w:rsidR="0069624B" w:rsidRPr="00B8097E" w:rsidRDefault="0069624B" w:rsidP="003C7A42">
            <w:pPr>
              <w:pStyle w:val="NoSpacing"/>
              <w:jc w:val="center"/>
              <w:rPr>
                <w:sz w:val="20"/>
                <w:szCs w:val="20"/>
              </w:rPr>
            </w:pPr>
            <w:r w:rsidRPr="00B8097E">
              <w:rPr>
                <w:sz w:val="20"/>
                <w:szCs w:val="20"/>
              </w:rPr>
              <w:t>5.046</w:t>
            </w:r>
          </w:p>
        </w:tc>
        <w:tc>
          <w:tcPr>
            <w:tcW w:w="1170" w:type="dxa"/>
          </w:tcPr>
          <w:p w14:paraId="03C4C621" w14:textId="77777777" w:rsidR="0069624B" w:rsidRPr="00B8097E" w:rsidRDefault="0069624B" w:rsidP="003C7A42">
            <w:pPr>
              <w:pStyle w:val="NoSpacing"/>
              <w:jc w:val="center"/>
              <w:rPr>
                <w:sz w:val="20"/>
                <w:szCs w:val="20"/>
              </w:rPr>
            </w:pPr>
            <w:r w:rsidRPr="00B8097E">
              <w:rPr>
                <w:sz w:val="20"/>
                <w:szCs w:val="20"/>
              </w:rPr>
              <w:t>5.000</w:t>
            </w:r>
          </w:p>
        </w:tc>
        <w:tc>
          <w:tcPr>
            <w:tcW w:w="1170" w:type="dxa"/>
          </w:tcPr>
          <w:p w14:paraId="2EF1A18D" w14:textId="77777777" w:rsidR="0069624B" w:rsidRPr="00B8097E" w:rsidRDefault="0069624B" w:rsidP="003C7A42">
            <w:pPr>
              <w:pStyle w:val="NoSpacing"/>
              <w:jc w:val="center"/>
              <w:rPr>
                <w:sz w:val="20"/>
                <w:szCs w:val="20"/>
              </w:rPr>
            </w:pPr>
            <w:r w:rsidRPr="00B8097E">
              <w:rPr>
                <w:sz w:val="20"/>
                <w:szCs w:val="20"/>
              </w:rPr>
              <w:t>1.000</w:t>
            </w:r>
          </w:p>
        </w:tc>
        <w:tc>
          <w:tcPr>
            <w:tcW w:w="853" w:type="dxa"/>
          </w:tcPr>
          <w:p w14:paraId="06CF7598" w14:textId="77777777" w:rsidR="0069624B" w:rsidRPr="00B8097E" w:rsidRDefault="0069624B" w:rsidP="003C7A42">
            <w:pPr>
              <w:pStyle w:val="NoSpacing"/>
              <w:jc w:val="center"/>
              <w:rPr>
                <w:sz w:val="20"/>
                <w:szCs w:val="20"/>
              </w:rPr>
            </w:pPr>
            <w:r w:rsidRPr="00B8097E">
              <w:rPr>
                <w:sz w:val="20"/>
                <w:szCs w:val="20"/>
              </w:rPr>
              <w:t>11.000</w:t>
            </w:r>
          </w:p>
        </w:tc>
      </w:tr>
      <w:tr w:rsidR="00E448FE" w:rsidRPr="00B8097E" w14:paraId="59FCAC41" w14:textId="77777777" w:rsidTr="00B303B9">
        <w:tc>
          <w:tcPr>
            <w:tcW w:w="2693" w:type="dxa"/>
            <w:tcBorders>
              <w:bottom w:val="single" w:sz="4" w:space="0" w:color="auto"/>
            </w:tcBorders>
          </w:tcPr>
          <w:p w14:paraId="0739FB0C" w14:textId="77777777" w:rsidR="00E448FE" w:rsidRPr="00B8097E" w:rsidRDefault="00E448FE" w:rsidP="003C7A42">
            <w:pPr>
              <w:pStyle w:val="NoSpacing"/>
              <w:jc w:val="both"/>
              <w:rPr>
                <w:sz w:val="20"/>
                <w:szCs w:val="20"/>
              </w:rPr>
            </w:pPr>
            <w:r w:rsidRPr="00B8097E">
              <w:rPr>
                <w:sz w:val="20"/>
                <w:szCs w:val="20"/>
              </w:rPr>
              <w:t>ACSIZE</w:t>
            </w:r>
          </w:p>
        </w:tc>
        <w:tc>
          <w:tcPr>
            <w:tcW w:w="1080" w:type="dxa"/>
            <w:tcBorders>
              <w:bottom w:val="single" w:sz="4" w:space="0" w:color="auto"/>
            </w:tcBorders>
          </w:tcPr>
          <w:p w14:paraId="5660BD38" w14:textId="77777777" w:rsidR="00E448FE" w:rsidRPr="00B8097E" w:rsidRDefault="00E448FE" w:rsidP="003C7A42">
            <w:pPr>
              <w:pStyle w:val="NoSpacing"/>
              <w:jc w:val="center"/>
              <w:rPr>
                <w:sz w:val="20"/>
                <w:szCs w:val="20"/>
              </w:rPr>
            </w:pPr>
            <w:r w:rsidRPr="00B8097E">
              <w:rPr>
                <w:sz w:val="20"/>
                <w:szCs w:val="20"/>
              </w:rPr>
              <w:t>3.228</w:t>
            </w:r>
          </w:p>
        </w:tc>
        <w:tc>
          <w:tcPr>
            <w:tcW w:w="1170" w:type="dxa"/>
            <w:tcBorders>
              <w:bottom w:val="single" w:sz="4" w:space="0" w:color="auto"/>
            </w:tcBorders>
          </w:tcPr>
          <w:p w14:paraId="58480095" w14:textId="77777777" w:rsidR="00E448FE" w:rsidRPr="00B8097E" w:rsidRDefault="00E448FE" w:rsidP="003C7A42">
            <w:pPr>
              <w:pStyle w:val="NoSpacing"/>
              <w:jc w:val="center"/>
              <w:rPr>
                <w:sz w:val="20"/>
                <w:szCs w:val="20"/>
              </w:rPr>
            </w:pPr>
            <w:r w:rsidRPr="00B8097E">
              <w:rPr>
                <w:sz w:val="20"/>
                <w:szCs w:val="20"/>
              </w:rPr>
              <w:t>3.000</w:t>
            </w:r>
          </w:p>
        </w:tc>
        <w:tc>
          <w:tcPr>
            <w:tcW w:w="1170" w:type="dxa"/>
            <w:tcBorders>
              <w:bottom w:val="single" w:sz="4" w:space="0" w:color="auto"/>
            </w:tcBorders>
          </w:tcPr>
          <w:p w14:paraId="5D4B3BE7" w14:textId="77777777" w:rsidR="00E448FE" w:rsidRPr="00B8097E" w:rsidRDefault="00E448FE" w:rsidP="003C7A42">
            <w:pPr>
              <w:pStyle w:val="NoSpacing"/>
              <w:jc w:val="center"/>
              <w:rPr>
                <w:sz w:val="20"/>
                <w:szCs w:val="20"/>
              </w:rPr>
            </w:pPr>
            <w:r w:rsidRPr="00B8097E">
              <w:rPr>
                <w:sz w:val="20"/>
                <w:szCs w:val="20"/>
              </w:rPr>
              <w:t>2.000</w:t>
            </w:r>
          </w:p>
        </w:tc>
        <w:tc>
          <w:tcPr>
            <w:tcW w:w="853" w:type="dxa"/>
            <w:tcBorders>
              <w:bottom w:val="single" w:sz="4" w:space="0" w:color="auto"/>
            </w:tcBorders>
          </w:tcPr>
          <w:p w14:paraId="2A45FCB6" w14:textId="77777777" w:rsidR="00E448FE" w:rsidRPr="00B8097E" w:rsidRDefault="00E448FE" w:rsidP="003C7A42">
            <w:pPr>
              <w:pStyle w:val="NoSpacing"/>
              <w:jc w:val="center"/>
              <w:rPr>
                <w:sz w:val="20"/>
                <w:szCs w:val="20"/>
              </w:rPr>
            </w:pPr>
            <w:r w:rsidRPr="00B8097E">
              <w:rPr>
                <w:sz w:val="20"/>
                <w:szCs w:val="20"/>
              </w:rPr>
              <w:t>6.000</w:t>
            </w:r>
          </w:p>
        </w:tc>
      </w:tr>
    </w:tbl>
    <w:p w14:paraId="4D692728" w14:textId="77777777" w:rsidR="00AE0B3D" w:rsidRPr="00B8097E" w:rsidRDefault="00AE0B3D" w:rsidP="003C7A42">
      <w:pPr>
        <w:rPr>
          <w:sz w:val="20"/>
          <w:szCs w:val="20"/>
        </w:rPr>
      </w:pPr>
    </w:p>
    <w:p w14:paraId="561018CC" w14:textId="77777777" w:rsidR="00D41E99" w:rsidRDefault="00D41E99" w:rsidP="003C7A42">
      <w:pPr>
        <w:rPr>
          <w:sz w:val="20"/>
          <w:szCs w:val="20"/>
        </w:rPr>
      </w:pPr>
    </w:p>
    <w:p w14:paraId="42944032" w14:textId="77777777" w:rsidR="00B8097E" w:rsidRDefault="00B8097E" w:rsidP="003C7A42">
      <w:pPr>
        <w:rPr>
          <w:sz w:val="20"/>
          <w:szCs w:val="20"/>
        </w:rPr>
      </w:pPr>
    </w:p>
    <w:p w14:paraId="4C6FA231" w14:textId="77777777" w:rsidR="00B8097E" w:rsidRDefault="00B8097E" w:rsidP="003C7A42">
      <w:pPr>
        <w:rPr>
          <w:sz w:val="20"/>
          <w:szCs w:val="20"/>
        </w:rPr>
      </w:pPr>
    </w:p>
    <w:p w14:paraId="71AE1E72" w14:textId="77777777" w:rsidR="00E51E6B" w:rsidRDefault="00E51E6B" w:rsidP="003C7A42">
      <w:pPr>
        <w:rPr>
          <w:sz w:val="20"/>
          <w:szCs w:val="20"/>
        </w:rPr>
      </w:pPr>
    </w:p>
    <w:p w14:paraId="3FD2E3CA" w14:textId="77777777" w:rsidR="00E51E6B" w:rsidRDefault="00E51E6B" w:rsidP="003C7A42">
      <w:pPr>
        <w:rPr>
          <w:sz w:val="20"/>
          <w:szCs w:val="20"/>
        </w:rPr>
      </w:pPr>
    </w:p>
    <w:p w14:paraId="18799746" w14:textId="77777777" w:rsidR="00E51E6B" w:rsidRDefault="00E51E6B" w:rsidP="003C7A42">
      <w:pPr>
        <w:rPr>
          <w:sz w:val="20"/>
          <w:szCs w:val="20"/>
        </w:rPr>
      </w:pPr>
    </w:p>
    <w:p w14:paraId="0BAD1892" w14:textId="77777777" w:rsidR="00E51E6B" w:rsidRDefault="00E51E6B" w:rsidP="003C7A42">
      <w:pPr>
        <w:rPr>
          <w:sz w:val="20"/>
          <w:szCs w:val="20"/>
        </w:rPr>
      </w:pPr>
    </w:p>
    <w:p w14:paraId="0A945F1A" w14:textId="77777777" w:rsidR="00E51E6B" w:rsidRPr="00B8097E" w:rsidRDefault="00E51E6B" w:rsidP="003C7A42">
      <w:pPr>
        <w:rPr>
          <w:sz w:val="20"/>
          <w:szCs w:val="20"/>
        </w:rPr>
      </w:pPr>
    </w:p>
    <w:p w14:paraId="7911158D" w14:textId="77777777" w:rsidR="00493679" w:rsidRPr="00B8097E" w:rsidRDefault="00493679" w:rsidP="00B8097E">
      <w:pPr>
        <w:jc w:val="center"/>
        <w:rPr>
          <w:b/>
          <w:sz w:val="20"/>
          <w:szCs w:val="20"/>
        </w:rPr>
      </w:pPr>
      <w:r w:rsidRPr="00B8097E">
        <w:rPr>
          <w:b/>
          <w:sz w:val="20"/>
          <w:szCs w:val="20"/>
        </w:rPr>
        <w:lastRenderedPageBreak/>
        <w:t xml:space="preserve">Table 2: </w:t>
      </w:r>
      <w:r w:rsidR="00883DFD" w:rsidRPr="00B8097E">
        <w:rPr>
          <w:b/>
          <w:sz w:val="20"/>
          <w:szCs w:val="20"/>
        </w:rPr>
        <w:t xml:space="preserve">Regression results for </w:t>
      </w:r>
      <w:r w:rsidR="000F262A" w:rsidRPr="00B8097E">
        <w:rPr>
          <w:b/>
          <w:sz w:val="20"/>
          <w:szCs w:val="20"/>
        </w:rPr>
        <w:t>E</w:t>
      </w:r>
      <w:r w:rsidR="00883DFD" w:rsidRPr="00B8097E">
        <w:rPr>
          <w:b/>
          <w:sz w:val="20"/>
          <w:szCs w:val="20"/>
        </w:rPr>
        <w:t xml:space="preserve">arnings </w:t>
      </w:r>
      <w:r w:rsidR="000F262A" w:rsidRPr="00B8097E">
        <w:rPr>
          <w:b/>
          <w:sz w:val="20"/>
          <w:szCs w:val="20"/>
        </w:rPr>
        <w:t>Management</w:t>
      </w:r>
      <w:r w:rsidRPr="00B8097E">
        <w:rPr>
          <w:b/>
          <w:sz w:val="20"/>
          <w:szCs w:val="20"/>
        </w:rPr>
        <w:t xml:space="preserve"> on AC Competence, AC Independence, AC Meeting</w:t>
      </w:r>
    </w:p>
    <w:p w14:paraId="1F74A967" w14:textId="77777777" w:rsidR="00883DFD" w:rsidRPr="00B8097E" w:rsidRDefault="00493679" w:rsidP="003C7A42">
      <w:pPr>
        <w:jc w:val="center"/>
        <w:rPr>
          <w:sz w:val="20"/>
          <w:szCs w:val="20"/>
        </w:rPr>
      </w:pPr>
      <w:r w:rsidRPr="00B8097E">
        <w:rPr>
          <w:b/>
          <w:sz w:val="20"/>
          <w:szCs w:val="20"/>
        </w:rPr>
        <w:t xml:space="preserve">and </w:t>
      </w:r>
      <w:r w:rsidR="00883DFD" w:rsidRPr="00B8097E">
        <w:rPr>
          <w:b/>
          <w:sz w:val="20"/>
          <w:szCs w:val="20"/>
        </w:rPr>
        <w:t xml:space="preserve">AC </w:t>
      </w:r>
      <w:r w:rsidR="000F262A" w:rsidRPr="00B8097E">
        <w:rPr>
          <w:b/>
          <w:sz w:val="20"/>
          <w:szCs w:val="20"/>
        </w:rPr>
        <w:t>Size</w:t>
      </w:r>
    </w:p>
    <w:p w14:paraId="59938C8A" w14:textId="77777777" w:rsidR="00B8097E" w:rsidRPr="00B8097E" w:rsidRDefault="00B8097E" w:rsidP="003C7A42">
      <w:pPr>
        <w:jc w:val="center"/>
        <w:rPr>
          <w:sz w:val="20"/>
          <w:szCs w:val="20"/>
        </w:rPr>
      </w:pPr>
    </w:p>
    <w:tbl>
      <w:tblPr>
        <w:tblStyle w:val="TableGrid"/>
        <w:tblpPr w:leftFromText="180" w:rightFromText="180" w:vertAnchor="text" w:tblpX="704" w:tblpY="1"/>
        <w:tblOverlap w:val="never"/>
        <w:tblW w:w="0" w:type="auto"/>
        <w:tblBorders>
          <w:left w:val="none" w:sz="0" w:space="0" w:color="auto"/>
        </w:tblBorders>
        <w:tblLayout w:type="fixed"/>
        <w:tblLook w:val="04A0" w:firstRow="1" w:lastRow="0" w:firstColumn="1" w:lastColumn="0" w:noHBand="0" w:noVBand="1"/>
      </w:tblPr>
      <w:tblGrid>
        <w:gridCol w:w="4253"/>
        <w:gridCol w:w="1134"/>
        <w:gridCol w:w="425"/>
        <w:gridCol w:w="1134"/>
      </w:tblGrid>
      <w:tr w:rsidR="001E5A3B" w:rsidRPr="00B8097E" w14:paraId="2E272436" w14:textId="77777777" w:rsidTr="00B8097E">
        <w:tc>
          <w:tcPr>
            <w:tcW w:w="4253" w:type="dxa"/>
            <w:tcBorders>
              <w:bottom w:val="single" w:sz="4" w:space="0" w:color="auto"/>
              <w:right w:val="nil"/>
            </w:tcBorders>
          </w:tcPr>
          <w:p w14:paraId="0C8365D9" w14:textId="77777777" w:rsidR="00956842" w:rsidRPr="00B8097E" w:rsidRDefault="00956842" w:rsidP="003C7A42">
            <w:pPr>
              <w:jc w:val="center"/>
              <w:rPr>
                <w:sz w:val="20"/>
                <w:szCs w:val="20"/>
              </w:rPr>
            </w:pPr>
          </w:p>
        </w:tc>
        <w:tc>
          <w:tcPr>
            <w:tcW w:w="1134" w:type="dxa"/>
            <w:tcBorders>
              <w:left w:val="nil"/>
              <w:bottom w:val="single" w:sz="4" w:space="0" w:color="auto"/>
              <w:right w:val="nil"/>
            </w:tcBorders>
          </w:tcPr>
          <w:p w14:paraId="27E6F5E6" w14:textId="77777777" w:rsidR="00956842" w:rsidRPr="00B8097E" w:rsidRDefault="00956842" w:rsidP="003C7A42">
            <w:pPr>
              <w:jc w:val="center"/>
              <w:rPr>
                <w:sz w:val="20"/>
                <w:szCs w:val="20"/>
              </w:rPr>
            </w:pPr>
            <w:r w:rsidRPr="00B8097E">
              <w:rPr>
                <w:sz w:val="20"/>
                <w:szCs w:val="20"/>
              </w:rPr>
              <w:t>Coefficient</w:t>
            </w:r>
          </w:p>
        </w:tc>
        <w:tc>
          <w:tcPr>
            <w:tcW w:w="425" w:type="dxa"/>
            <w:tcBorders>
              <w:left w:val="nil"/>
              <w:bottom w:val="single" w:sz="4" w:space="0" w:color="auto"/>
              <w:right w:val="nil"/>
            </w:tcBorders>
          </w:tcPr>
          <w:p w14:paraId="627437A4" w14:textId="77777777" w:rsidR="00956842" w:rsidRPr="00B8097E" w:rsidRDefault="00956842" w:rsidP="003C7A42">
            <w:pPr>
              <w:jc w:val="center"/>
              <w:rPr>
                <w:sz w:val="20"/>
                <w:szCs w:val="20"/>
              </w:rPr>
            </w:pPr>
          </w:p>
        </w:tc>
        <w:tc>
          <w:tcPr>
            <w:tcW w:w="1134" w:type="dxa"/>
            <w:tcBorders>
              <w:left w:val="nil"/>
              <w:bottom w:val="single" w:sz="4" w:space="0" w:color="auto"/>
              <w:right w:val="nil"/>
            </w:tcBorders>
          </w:tcPr>
          <w:p w14:paraId="1F878C89" w14:textId="77777777" w:rsidR="00956842" w:rsidRPr="00B8097E" w:rsidRDefault="00956842" w:rsidP="003C7A42">
            <w:pPr>
              <w:jc w:val="center"/>
              <w:rPr>
                <w:sz w:val="20"/>
                <w:szCs w:val="20"/>
              </w:rPr>
            </w:pPr>
            <w:r w:rsidRPr="00B8097E">
              <w:rPr>
                <w:sz w:val="20"/>
                <w:szCs w:val="20"/>
              </w:rPr>
              <w:t>P-value</w:t>
            </w:r>
          </w:p>
        </w:tc>
      </w:tr>
      <w:tr w:rsidR="001E5A3B" w:rsidRPr="00B8097E" w14:paraId="058BF526" w14:textId="77777777" w:rsidTr="00B8097E">
        <w:tc>
          <w:tcPr>
            <w:tcW w:w="4253" w:type="dxa"/>
            <w:tcBorders>
              <w:bottom w:val="nil"/>
              <w:right w:val="nil"/>
            </w:tcBorders>
          </w:tcPr>
          <w:p w14:paraId="2EA4E730" w14:textId="77777777" w:rsidR="00956842" w:rsidRPr="00B8097E" w:rsidRDefault="00956842" w:rsidP="003C7A42">
            <w:pPr>
              <w:jc w:val="left"/>
              <w:rPr>
                <w:sz w:val="20"/>
                <w:szCs w:val="20"/>
              </w:rPr>
            </w:pPr>
            <w:r w:rsidRPr="00B8097E">
              <w:rPr>
                <w:sz w:val="20"/>
                <w:szCs w:val="20"/>
              </w:rPr>
              <w:t>Intercept</w:t>
            </w:r>
          </w:p>
        </w:tc>
        <w:tc>
          <w:tcPr>
            <w:tcW w:w="1134" w:type="dxa"/>
            <w:tcBorders>
              <w:left w:val="nil"/>
              <w:bottom w:val="nil"/>
              <w:right w:val="nil"/>
            </w:tcBorders>
          </w:tcPr>
          <w:p w14:paraId="0745DF6D" w14:textId="77777777" w:rsidR="00956842" w:rsidRPr="00B8097E" w:rsidRDefault="00956842" w:rsidP="003C7A42">
            <w:pPr>
              <w:ind w:right="-57"/>
              <w:jc w:val="right"/>
              <w:rPr>
                <w:sz w:val="20"/>
                <w:szCs w:val="20"/>
              </w:rPr>
            </w:pPr>
            <w:r w:rsidRPr="00B8097E">
              <w:rPr>
                <w:sz w:val="20"/>
                <w:szCs w:val="20"/>
              </w:rPr>
              <w:t>14.64</w:t>
            </w:r>
          </w:p>
        </w:tc>
        <w:tc>
          <w:tcPr>
            <w:tcW w:w="425" w:type="dxa"/>
            <w:tcBorders>
              <w:left w:val="nil"/>
              <w:bottom w:val="nil"/>
              <w:right w:val="nil"/>
            </w:tcBorders>
          </w:tcPr>
          <w:p w14:paraId="1E991AE9" w14:textId="77777777" w:rsidR="00956842" w:rsidRPr="00B8097E" w:rsidRDefault="00956842" w:rsidP="003C7A42">
            <w:pPr>
              <w:ind w:left="-113"/>
              <w:jc w:val="left"/>
              <w:rPr>
                <w:sz w:val="20"/>
                <w:szCs w:val="20"/>
              </w:rPr>
            </w:pPr>
            <w:r w:rsidRPr="00B8097E">
              <w:rPr>
                <w:sz w:val="20"/>
                <w:szCs w:val="20"/>
              </w:rPr>
              <w:t>***</w:t>
            </w:r>
          </w:p>
        </w:tc>
        <w:tc>
          <w:tcPr>
            <w:tcW w:w="1134" w:type="dxa"/>
            <w:tcBorders>
              <w:left w:val="nil"/>
              <w:bottom w:val="nil"/>
              <w:right w:val="nil"/>
            </w:tcBorders>
          </w:tcPr>
          <w:p w14:paraId="72AA2CF7" w14:textId="77777777" w:rsidR="00956842" w:rsidRPr="00B8097E" w:rsidRDefault="00956842" w:rsidP="003C7A42">
            <w:pPr>
              <w:ind w:left="-57"/>
              <w:jc w:val="right"/>
              <w:rPr>
                <w:sz w:val="20"/>
                <w:szCs w:val="20"/>
              </w:rPr>
            </w:pPr>
            <w:r w:rsidRPr="00B8097E">
              <w:rPr>
                <w:sz w:val="20"/>
                <w:szCs w:val="20"/>
              </w:rPr>
              <w:t>0.000</w:t>
            </w:r>
          </w:p>
        </w:tc>
      </w:tr>
      <w:tr w:rsidR="001E5A3B" w:rsidRPr="00B8097E" w14:paraId="40789E1C" w14:textId="77777777" w:rsidTr="00B8097E">
        <w:tc>
          <w:tcPr>
            <w:tcW w:w="4253" w:type="dxa"/>
            <w:tcBorders>
              <w:top w:val="nil"/>
              <w:bottom w:val="nil"/>
              <w:right w:val="nil"/>
            </w:tcBorders>
          </w:tcPr>
          <w:p w14:paraId="65485831" w14:textId="77777777" w:rsidR="00956842" w:rsidRPr="00B8097E" w:rsidRDefault="00C038AE" w:rsidP="003C7A42">
            <w:pPr>
              <w:jc w:val="left"/>
              <w:rPr>
                <w:sz w:val="20"/>
                <w:szCs w:val="20"/>
              </w:rPr>
            </w:pPr>
            <w:r w:rsidRPr="00B8097E">
              <w:rPr>
                <w:sz w:val="20"/>
                <w:szCs w:val="20"/>
              </w:rPr>
              <w:t>AC</w:t>
            </w:r>
            <w:r w:rsidR="00645659" w:rsidRPr="00B8097E">
              <w:rPr>
                <w:sz w:val="20"/>
                <w:szCs w:val="20"/>
              </w:rPr>
              <w:t>COMPETENCE</w:t>
            </w:r>
          </w:p>
        </w:tc>
        <w:tc>
          <w:tcPr>
            <w:tcW w:w="1134" w:type="dxa"/>
            <w:tcBorders>
              <w:top w:val="nil"/>
              <w:left w:val="nil"/>
              <w:bottom w:val="nil"/>
              <w:right w:val="nil"/>
            </w:tcBorders>
          </w:tcPr>
          <w:p w14:paraId="236C4225" w14:textId="77777777" w:rsidR="00956842" w:rsidRPr="00B8097E" w:rsidRDefault="00B303B9" w:rsidP="003C7A42">
            <w:pPr>
              <w:ind w:right="-57"/>
              <w:jc w:val="right"/>
              <w:rPr>
                <w:sz w:val="20"/>
                <w:szCs w:val="20"/>
              </w:rPr>
            </w:pPr>
            <w:r w:rsidRPr="00B8097E">
              <w:rPr>
                <w:sz w:val="20"/>
                <w:szCs w:val="20"/>
              </w:rPr>
              <w:t>-0.250</w:t>
            </w:r>
          </w:p>
        </w:tc>
        <w:tc>
          <w:tcPr>
            <w:tcW w:w="425" w:type="dxa"/>
            <w:tcBorders>
              <w:top w:val="nil"/>
              <w:left w:val="nil"/>
              <w:bottom w:val="nil"/>
              <w:right w:val="nil"/>
            </w:tcBorders>
          </w:tcPr>
          <w:p w14:paraId="0B323FF7" w14:textId="77777777" w:rsidR="00956842" w:rsidRPr="00B8097E" w:rsidRDefault="001E5A3B" w:rsidP="003C7A42">
            <w:pPr>
              <w:ind w:left="-113"/>
              <w:jc w:val="left"/>
              <w:rPr>
                <w:sz w:val="20"/>
                <w:szCs w:val="20"/>
              </w:rPr>
            </w:pPr>
            <w:r w:rsidRPr="00B8097E">
              <w:rPr>
                <w:sz w:val="20"/>
                <w:szCs w:val="20"/>
              </w:rPr>
              <w:t>**</w:t>
            </w:r>
          </w:p>
        </w:tc>
        <w:tc>
          <w:tcPr>
            <w:tcW w:w="1134" w:type="dxa"/>
            <w:tcBorders>
              <w:top w:val="nil"/>
              <w:left w:val="nil"/>
              <w:bottom w:val="nil"/>
              <w:right w:val="nil"/>
            </w:tcBorders>
          </w:tcPr>
          <w:p w14:paraId="21CC94E3" w14:textId="77777777" w:rsidR="00956842" w:rsidRPr="00B8097E" w:rsidRDefault="001E5A3B" w:rsidP="003C7A42">
            <w:pPr>
              <w:ind w:left="-57"/>
              <w:jc w:val="right"/>
              <w:rPr>
                <w:sz w:val="20"/>
                <w:szCs w:val="20"/>
              </w:rPr>
            </w:pPr>
            <w:r w:rsidRPr="00B8097E">
              <w:rPr>
                <w:sz w:val="20"/>
                <w:szCs w:val="20"/>
              </w:rPr>
              <w:t>0.013</w:t>
            </w:r>
          </w:p>
        </w:tc>
      </w:tr>
      <w:tr w:rsidR="001E5A3B" w:rsidRPr="00B8097E" w14:paraId="5B275D56" w14:textId="77777777" w:rsidTr="00B8097E">
        <w:tc>
          <w:tcPr>
            <w:tcW w:w="4253" w:type="dxa"/>
            <w:tcBorders>
              <w:top w:val="nil"/>
              <w:bottom w:val="nil"/>
              <w:right w:val="nil"/>
            </w:tcBorders>
          </w:tcPr>
          <w:p w14:paraId="6E56633F" w14:textId="77777777" w:rsidR="00956842" w:rsidRPr="00B8097E" w:rsidRDefault="00645659" w:rsidP="003C7A42">
            <w:pPr>
              <w:jc w:val="left"/>
              <w:rPr>
                <w:sz w:val="20"/>
                <w:szCs w:val="20"/>
              </w:rPr>
            </w:pPr>
            <w:r w:rsidRPr="00B8097E">
              <w:rPr>
                <w:sz w:val="20"/>
                <w:szCs w:val="20"/>
              </w:rPr>
              <w:t>ACINDEPENDENCE</w:t>
            </w:r>
          </w:p>
        </w:tc>
        <w:tc>
          <w:tcPr>
            <w:tcW w:w="1134" w:type="dxa"/>
            <w:tcBorders>
              <w:top w:val="nil"/>
              <w:left w:val="nil"/>
              <w:bottom w:val="nil"/>
              <w:right w:val="nil"/>
            </w:tcBorders>
          </w:tcPr>
          <w:p w14:paraId="032A683E" w14:textId="77777777" w:rsidR="00956842" w:rsidRPr="00B8097E" w:rsidRDefault="00B303B9" w:rsidP="003C7A42">
            <w:pPr>
              <w:ind w:right="-57"/>
              <w:jc w:val="right"/>
              <w:rPr>
                <w:sz w:val="20"/>
                <w:szCs w:val="20"/>
              </w:rPr>
            </w:pPr>
            <w:r w:rsidRPr="00B8097E">
              <w:rPr>
                <w:sz w:val="20"/>
                <w:szCs w:val="20"/>
              </w:rPr>
              <w:t>-0.007</w:t>
            </w:r>
          </w:p>
        </w:tc>
        <w:tc>
          <w:tcPr>
            <w:tcW w:w="425" w:type="dxa"/>
            <w:tcBorders>
              <w:top w:val="nil"/>
              <w:left w:val="nil"/>
              <w:bottom w:val="nil"/>
              <w:right w:val="nil"/>
            </w:tcBorders>
          </w:tcPr>
          <w:p w14:paraId="0CEDCBD9" w14:textId="77777777" w:rsidR="00956842" w:rsidRPr="00B8097E" w:rsidRDefault="00956842" w:rsidP="003C7A42">
            <w:pPr>
              <w:jc w:val="left"/>
              <w:rPr>
                <w:sz w:val="20"/>
                <w:szCs w:val="20"/>
              </w:rPr>
            </w:pPr>
          </w:p>
        </w:tc>
        <w:tc>
          <w:tcPr>
            <w:tcW w:w="1134" w:type="dxa"/>
            <w:tcBorders>
              <w:top w:val="nil"/>
              <w:left w:val="nil"/>
              <w:bottom w:val="nil"/>
              <w:right w:val="nil"/>
            </w:tcBorders>
          </w:tcPr>
          <w:p w14:paraId="19B1F597" w14:textId="77777777" w:rsidR="00956842" w:rsidRPr="00B8097E" w:rsidRDefault="00B303B9" w:rsidP="003C7A42">
            <w:pPr>
              <w:jc w:val="right"/>
              <w:rPr>
                <w:sz w:val="20"/>
                <w:szCs w:val="20"/>
              </w:rPr>
            </w:pPr>
            <w:r w:rsidRPr="00B8097E">
              <w:rPr>
                <w:sz w:val="20"/>
                <w:szCs w:val="20"/>
              </w:rPr>
              <w:t>0.76</w:t>
            </w:r>
            <w:r w:rsidR="001E5A3B" w:rsidRPr="00B8097E">
              <w:rPr>
                <w:sz w:val="20"/>
                <w:szCs w:val="20"/>
              </w:rPr>
              <w:t>9</w:t>
            </w:r>
          </w:p>
        </w:tc>
      </w:tr>
      <w:tr w:rsidR="001E5A3B" w:rsidRPr="00B8097E" w14:paraId="71158224" w14:textId="77777777" w:rsidTr="00B8097E">
        <w:tc>
          <w:tcPr>
            <w:tcW w:w="4253" w:type="dxa"/>
            <w:tcBorders>
              <w:top w:val="nil"/>
              <w:bottom w:val="nil"/>
              <w:right w:val="nil"/>
            </w:tcBorders>
          </w:tcPr>
          <w:p w14:paraId="1034A5BE" w14:textId="77777777" w:rsidR="00956842" w:rsidRPr="00B8097E" w:rsidRDefault="00645659" w:rsidP="003C7A42">
            <w:pPr>
              <w:tabs>
                <w:tab w:val="left" w:pos="1118"/>
              </w:tabs>
              <w:jc w:val="left"/>
              <w:rPr>
                <w:sz w:val="20"/>
                <w:szCs w:val="20"/>
              </w:rPr>
            </w:pPr>
            <w:r w:rsidRPr="00B8097E">
              <w:rPr>
                <w:sz w:val="20"/>
                <w:szCs w:val="20"/>
              </w:rPr>
              <w:t>ACMEETING</w:t>
            </w:r>
            <w:r w:rsidRPr="00B8097E">
              <w:rPr>
                <w:sz w:val="20"/>
                <w:szCs w:val="20"/>
              </w:rPr>
              <w:tab/>
            </w:r>
          </w:p>
        </w:tc>
        <w:tc>
          <w:tcPr>
            <w:tcW w:w="1134" w:type="dxa"/>
            <w:tcBorders>
              <w:top w:val="nil"/>
              <w:left w:val="nil"/>
              <w:bottom w:val="nil"/>
              <w:right w:val="nil"/>
            </w:tcBorders>
          </w:tcPr>
          <w:p w14:paraId="4EC71E9F" w14:textId="77777777" w:rsidR="00956842" w:rsidRPr="00B8097E" w:rsidRDefault="001E5A3B" w:rsidP="003C7A42">
            <w:pPr>
              <w:ind w:right="-57"/>
              <w:jc w:val="right"/>
              <w:rPr>
                <w:sz w:val="20"/>
                <w:szCs w:val="20"/>
              </w:rPr>
            </w:pPr>
            <w:r w:rsidRPr="00B8097E">
              <w:rPr>
                <w:sz w:val="20"/>
                <w:szCs w:val="20"/>
              </w:rPr>
              <w:t>0.046</w:t>
            </w:r>
          </w:p>
        </w:tc>
        <w:tc>
          <w:tcPr>
            <w:tcW w:w="425" w:type="dxa"/>
            <w:tcBorders>
              <w:top w:val="nil"/>
              <w:left w:val="nil"/>
              <w:bottom w:val="nil"/>
              <w:right w:val="nil"/>
            </w:tcBorders>
          </w:tcPr>
          <w:p w14:paraId="47EEA73B" w14:textId="77777777" w:rsidR="00956842" w:rsidRPr="00B8097E" w:rsidRDefault="002E640E" w:rsidP="003C7A42">
            <w:pPr>
              <w:ind w:left="-113"/>
              <w:jc w:val="left"/>
              <w:rPr>
                <w:sz w:val="20"/>
                <w:szCs w:val="20"/>
              </w:rPr>
            </w:pPr>
            <w:r w:rsidRPr="00B8097E">
              <w:rPr>
                <w:sz w:val="20"/>
                <w:szCs w:val="20"/>
              </w:rPr>
              <w:t>***</w:t>
            </w:r>
          </w:p>
        </w:tc>
        <w:tc>
          <w:tcPr>
            <w:tcW w:w="1134" w:type="dxa"/>
            <w:tcBorders>
              <w:top w:val="nil"/>
              <w:left w:val="nil"/>
              <w:bottom w:val="nil"/>
              <w:right w:val="nil"/>
            </w:tcBorders>
          </w:tcPr>
          <w:p w14:paraId="29926ABC" w14:textId="77777777" w:rsidR="00956842" w:rsidRPr="00B8097E" w:rsidRDefault="002E640E" w:rsidP="003C7A42">
            <w:pPr>
              <w:jc w:val="right"/>
              <w:rPr>
                <w:sz w:val="20"/>
                <w:szCs w:val="20"/>
              </w:rPr>
            </w:pPr>
            <w:r w:rsidRPr="00B8097E">
              <w:rPr>
                <w:sz w:val="20"/>
                <w:szCs w:val="20"/>
              </w:rPr>
              <w:t>0.000</w:t>
            </w:r>
          </w:p>
        </w:tc>
      </w:tr>
      <w:tr w:rsidR="00E448FE" w:rsidRPr="00B8097E" w14:paraId="2FB2694C" w14:textId="77777777" w:rsidTr="00B8097E">
        <w:tc>
          <w:tcPr>
            <w:tcW w:w="4253" w:type="dxa"/>
            <w:tcBorders>
              <w:top w:val="nil"/>
              <w:bottom w:val="nil"/>
              <w:right w:val="nil"/>
            </w:tcBorders>
          </w:tcPr>
          <w:p w14:paraId="612E82BB" w14:textId="77777777" w:rsidR="00E448FE" w:rsidRPr="00B8097E" w:rsidRDefault="00E448FE" w:rsidP="003C7A42">
            <w:pPr>
              <w:tabs>
                <w:tab w:val="left" w:pos="1118"/>
              </w:tabs>
              <w:jc w:val="left"/>
              <w:rPr>
                <w:sz w:val="20"/>
                <w:szCs w:val="20"/>
              </w:rPr>
            </w:pPr>
            <w:r w:rsidRPr="00B8097E">
              <w:rPr>
                <w:sz w:val="20"/>
                <w:szCs w:val="20"/>
              </w:rPr>
              <w:t>ACSIZE</w:t>
            </w:r>
          </w:p>
        </w:tc>
        <w:tc>
          <w:tcPr>
            <w:tcW w:w="1134" w:type="dxa"/>
            <w:tcBorders>
              <w:top w:val="nil"/>
              <w:left w:val="nil"/>
              <w:bottom w:val="nil"/>
              <w:right w:val="nil"/>
            </w:tcBorders>
          </w:tcPr>
          <w:p w14:paraId="505A3040" w14:textId="77777777" w:rsidR="00E448FE" w:rsidRPr="00B8097E" w:rsidRDefault="00E448FE" w:rsidP="003C7A42">
            <w:pPr>
              <w:ind w:right="-57"/>
              <w:jc w:val="right"/>
              <w:rPr>
                <w:sz w:val="20"/>
                <w:szCs w:val="20"/>
              </w:rPr>
            </w:pPr>
            <w:r w:rsidRPr="00B8097E">
              <w:rPr>
                <w:sz w:val="20"/>
                <w:szCs w:val="20"/>
              </w:rPr>
              <w:t>0.004</w:t>
            </w:r>
          </w:p>
        </w:tc>
        <w:tc>
          <w:tcPr>
            <w:tcW w:w="425" w:type="dxa"/>
            <w:tcBorders>
              <w:top w:val="nil"/>
              <w:left w:val="nil"/>
              <w:bottom w:val="nil"/>
              <w:right w:val="nil"/>
            </w:tcBorders>
          </w:tcPr>
          <w:p w14:paraId="2EF9EBCE" w14:textId="77777777" w:rsidR="00E448FE" w:rsidRPr="00B8097E" w:rsidRDefault="00E448FE" w:rsidP="003C7A42">
            <w:pPr>
              <w:jc w:val="left"/>
              <w:rPr>
                <w:sz w:val="20"/>
                <w:szCs w:val="20"/>
              </w:rPr>
            </w:pPr>
          </w:p>
        </w:tc>
        <w:tc>
          <w:tcPr>
            <w:tcW w:w="1134" w:type="dxa"/>
            <w:tcBorders>
              <w:top w:val="nil"/>
              <w:left w:val="nil"/>
              <w:bottom w:val="nil"/>
              <w:right w:val="nil"/>
            </w:tcBorders>
          </w:tcPr>
          <w:p w14:paraId="44D80E89" w14:textId="77777777" w:rsidR="00E448FE" w:rsidRPr="00B8097E" w:rsidRDefault="00E448FE" w:rsidP="003C7A42">
            <w:pPr>
              <w:jc w:val="right"/>
              <w:rPr>
                <w:sz w:val="20"/>
                <w:szCs w:val="20"/>
              </w:rPr>
            </w:pPr>
            <w:r w:rsidRPr="00B8097E">
              <w:rPr>
                <w:sz w:val="20"/>
                <w:szCs w:val="20"/>
              </w:rPr>
              <w:t>0.927</w:t>
            </w:r>
          </w:p>
        </w:tc>
      </w:tr>
      <w:tr w:rsidR="001E5A3B" w:rsidRPr="00B8097E" w14:paraId="7927554B" w14:textId="77777777" w:rsidTr="00B8097E">
        <w:tc>
          <w:tcPr>
            <w:tcW w:w="4253" w:type="dxa"/>
            <w:tcBorders>
              <w:top w:val="nil"/>
              <w:bottom w:val="nil"/>
              <w:right w:val="nil"/>
            </w:tcBorders>
          </w:tcPr>
          <w:p w14:paraId="6A7E660B" w14:textId="77777777" w:rsidR="00956842" w:rsidRPr="00B8097E" w:rsidRDefault="00C1300B" w:rsidP="003C7A42">
            <w:pPr>
              <w:jc w:val="left"/>
              <w:rPr>
                <w:sz w:val="20"/>
                <w:szCs w:val="20"/>
              </w:rPr>
            </w:pPr>
            <w:r w:rsidRPr="00B8097E">
              <w:rPr>
                <w:sz w:val="20"/>
                <w:szCs w:val="20"/>
              </w:rPr>
              <w:t>Adjusted R</w:t>
            </w:r>
            <w:r w:rsidRPr="00B8097E">
              <w:rPr>
                <w:sz w:val="20"/>
                <w:szCs w:val="20"/>
                <w:vertAlign w:val="superscript"/>
              </w:rPr>
              <w:t>2</w:t>
            </w:r>
            <w:r w:rsidR="00956842" w:rsidRPr="00B8097E">
              <w:rPr>
                <w:sz w:val="20"/>
                <w:szCs w:val="20"/>
              </w:rPr>
              <w:t xml:space="preserve"> </w:t>
            </w:r>
          </w:p>
        </w:tc>
        <w:tc>
          <w:tcPr>
            <w:tcW w:w="1134" w:type="dxa"/>
            <w:tcBorders>
              <w:top w:val="nil"/>
              <w:left w:val="nil"/>
              <w:bottom w:val="nil"/>
              <w:right w:val="nil"/>
            </w:tcBorders>
          </w:tcPr>
          <w:p w14:paraId="0E1DA13F" w14:textId="77777777" w:rsidR="00956842" w:rsidRPr="00B8097E" w:rsidRDefault="00493679" w:rsidP="00B8097E">
            <w:pPr>
              <w:tabs>
                <w:tab w:val="right" w:pos="834"/>
              </w:tabs>
              <w:ind w:right="-57"/>
              <w:jc w:val="right"/>
              <w:rPr>
                <w:sz w:val="20"/>
                <w:szCs w:val="20"/>
              </w:rPr>
            </w:pPr>
            <w:r w:rsidRPr="00B8097E">
              <w:rPr>
                <w:sz w:val="20"/>
                <w:szCs w:val="20"/>
              </w:rPr>
              <w:tab/>
            </w:r>
            <w:r w:rsidR="00645659" w:rsidRPr="00B8097E">
              <w:rPr>
                <w:sz w:val="20"/>
                <w:szCs w:val="20"/>
              </w:rPr>
              <w:t>0.01</w:t>
            </w:r>
          </w:p>
        </w:tc>
        <w:tc>
          <w:tcPr>
            <w:tcW w:w="425" w:type="dxa"/>
            <w:tcBorders>
              <w:top w:val="nil"/>
              <w:left w:val="nil"/>
              <w:bottom w:val="nil"/>
              <w:right w:val="nil"/>
            </w:tcBorders>
          </w:tcPr>
          <w:p w14:paraId="21BF9AEC" w14:textId="77777777" w:rsidR="00956842" w:rsidRPr="00B8097E" w:rsidRDefault="00956842" w:rsidP="003C7A42">
            <w:pPr>
              <w:jc w:val="left"/>
              <w:rPr>
                <w:sz w:val="20"/>
                <w:szCs w:val="20"/>
              </w:rPr>
            </w:pPr>
          </w:p>
        </w:tc>
        <w:tc>
          <w:tcPr>
            <w:tcW w:w="1134" w:type="dxa"/>
            <w:tcBorders>
              <w:top w:val="nil"/>
              <w:left w:val="nil"/>
              <w:bottom w:val="nil"/>
              <w:right w:val="nil"/>
            </w:tcBorders>
          </w:tcPr>
          <w:p w14:paraId="4EA70994" w14:textId="77777777" w:rsidR="00956842" w:rsidRPr="00B8097E" w:rsidRDefault="00956842" w:rsidP="003C7A42">
            <w:pPr>
              <w:jc w:val="left"/>
              <w:rPr>
                <w:sz w:val="20"/>
                <w:szCs w:val="20"/>
              </w:rPr>
            </w:pPr>
          </w:p>
        </w:tc>
      </w:tr>
      <w:tr w:rsidR="001E5A3B" w:rsidRPr="00B8097E" w14:paraId="128F0FF2" w14:textId="77777777" w:rsidTr="00B8097E">
        <w:tc>
          <w:tcPr>
            <w:tcW w:w="4253" w:type="dxa"/>
            <w:tcBorders>
              <w:top w:val="nil"/>
              <w:right w:val="nil"/>
            </w:tcBorders>
          </w:tcPr>
          <w:p w14:paraId="750018FA" w14:textId="77777777" w:rsidR="00956842" w:rsidRPr="00B8097E" w:rsidRDefault="00956842" w:rsidP="003C7A42">
            <w:pPr>
              <w:jc w:val="left"/>
              <w:rPr>
                <w:sz w:val="20"/>
                <w:szCs w:val="20"/>
              </w:rPr>
            </w:pPr>
            <w:r w:rsidRPr="00B8097E">
              <w:rPr>
                <w:sz w:val="20"/>
                <w:szCs w:val="20"/>
              </w:rPr>
              <w:t>n</w:t>
            </w:r>
          </w:p>
        </w:tc>
        <w:tc>
          <w:tcPr>
            <w:tcW w:w="1134" w:type="dxa"/>
            <w:tcBorders>
              <w:top w:val="nil"/>
              <w:left w:val="nil"/>
              <w:right w:val="nil"/>
            </w:tcBorders>
          </w:tcPr>
          <w:p w14:paraId="1FCB1D0B" w14:textId="77777777" w:rsidR="00956842" w:rsidRPr="00B8097E" w:rsidRDefault="00044D25" w:rsidP="003C7A42">
            <w:pPr>
              <w:ind w:right="-57"/>
              <w:jc w:val="right"/>
              <w:rPr>
                <w:sz w:val="20"/>
                <w:szCs w:val="20"/>
              </w:rPr>
            </w:pPr>
            <w:r w:rsidRPr="00B8097E">
              <w:rPr>
                <w:sz w:val="20"/>
                <w:szCs w:val="20"/>
              </w:rPr>
              <w:t>1,17</w:t>
            </w:r>
            <w:r w:rsidR="00645659" w:rsidRPr="00B8097E">
              <w:rPr>
                <w:sz w:val="20"/>
                <w:szCs w:val="20"/>
              </w:rPr>
              <w:t>8</w:t>
            </w:r>
          </w:p>
        </w:tc>
        <w:tc>
          <w:tcPr>
            <w:tcW w:w="425" w:type="dxa"/>
            <w:tcBorders>
              <w:top w:val="nil"/>
              <w:left w:val="nil"/>
              <w:right w:val="nil"/>
            </w:tcBorders>
          </w:tcPr>
          <w:p w14:paraId="4E25E9F7" w14:textId="77777777" w:rsidR="00956842" w:rsidRPr="00B8097E" w:rsidRDefault="00956842" w:rsidP="003C7A42">
            <w:pPr>
              <w:jc w:val="left"/>
              <w:rPr>
                <w:sz w:val="20"/>
                <w:szCs w:val="20"/>
              </w:rPr>
            </w:pPr>
          </w:p>
        </w:tc>
        <w:tc>
          <w:tcPr>
            <w:tcW w:w="1134" w:type="dxa"/>
            <w:tcBorders>
              <w:top w:val="nil"/>
              <w:left w:val="nil"/>
              <w:right w:val="nil"/>
            </w:tcBorders>
          </w:tcPr>
          <w:p w14:paraId="1F8D80B3" w14:textId="77777777" w:rsidR="00956842" w:rsidRPr="00B8097E" w:rsidRDefault="00E65176" w:rsidP="003C7A42">
            <w:pPr>
              <w:tabs>
                <w:tab w:val="left" w:pos="1161"/>
              </w:tabs>
              <w:jc w:val="left"/>
              <w:rPr>
                <w:sz w:val="20"/>
                <w:szCs w:val="20"/>
              </w:rPr>
            </w:pPr>
            <w:r w:rsidRPr="00B8097E">
              <w:rPr>
                <w:sz w:val="20"/>
                <w:szCs w:val="20"/>
              </w:rPr>
              <w:tab/>
            </w:r>
          </w:p>
        </w:tc>
      </w:tr>
    </w:tbl>
    <w:p w14:paraId="1563843E" w14:textId="77777777" w:rsidR="00883DFD" w:rsidRPr="00B8097E" w:rsidRDefault="00956842" w:rsidP="003C7A42">
      <w:pPr>
        <w:rPr>
          <w:rFonts w:ascii="Garamond" w:hAnsi="Garamond"/>
          <w:sz w:val="24"/>
        </w:rPr>
      </w:pPr>
      <w:r w:rsidRPr="00B8097E">
        <w:rPr>
          <w:rFonts w:ascii="Garamond" w:hAnsi="Garamond"/>
          <w:sz w:val="24"/>
        </w:rPr>
        <w:br w:type="textWrapping" w:clear="all"/>
      </w:r>
    </w:p>
    <w:p w14:paraId="25D50362" w14:textId="77777777" w:rsidR="00B8097E" w:rsidRPr="00B8097E" w:rsidRDefault="00B8097E" w:rsidP="003C7A42">
      <w:pPr>
        <w:rPr>
          <w:rFonts w:ascii="Garamond" w:hAnsi="Garamond"/>
          <w:sz w:val="24"/>
        </w:rPr>
      </w:pPr>
    </w:p>
    <w:p w14:paraId="77EF9DAA" w14:textId="77777777" w:rsidR="0092099D" w:rsidRPr="00B8097E" w:rsidRDefault="0092099D" w:rsidP="00B8097E">
      <w:pPr>
        <w:ind w:firstLine="720"/>
        <w:rPr>
          <w:sz w:val="24"/>
        </w:rPr>
      </w:pPr>
      <w:r w:rsidRPr="00B8097E">
        <w:rPr>
          <w:sz w:val="24"/>
        </w:rPr>
        <w:t xml:space="preserve">Our results also show that AC meeting is significantly and positively related to real earnings management. Hypothesis 3 that states AC meeting is negatively related to real earnings management is rejected. This result can be interpreted as that </w:t>
      </w:r>
      <w:r w:rsidR="0082333D" w:rsidRPr="00B8097E">
        <w:rPr>
          <w:sz w:val="24"/>
        </w:rPr>
        <w:t xml:space="preserve">real earnings management is regarded as an issue that requires the attention of AC. Therefore, </w:t>
      </w:r>
      <w:r w:rsidRPr="00B8097E">
        <w:rPr>
          <w:sz w:val="24"/>
        </w:rPr>
        <w:t xml:space="preserve">AC meets more often when there are </w:t>
      </w:r>
      <w:r w:rsidR="0082333D" w:rsidRPr="00B8097E">
        <w:rPr>
          <w:sz w:val="24"/>
        </w:rPr>
        <w:t xml:space="preserve">more </w:t>
      </w:r>
      <w:r w:rsidRPr="00B8097E">
        <w:rPr>
          <w:sz w:val="24"/>
        </w:rPr>
        <w:t>issues</w:t>
      </w:r>
      <w:r w:rsidR="0082333D" w:rsidRPr="00B8097E">
        <w:rPr>
          <w:sz w:val="24"/>
        </w:rPr>
        <w:t xml:space="preserve"> on real earnings management</w:t>
      </w:r>
      <w:r w:rsidRPr="00B8097E">
        <w:rPr>
          <w:sz w:val="24"/>
        </w:rPr>
        <w:t xml:space="preserve"> that need to be addressed. Finally, we find that AC size has no significant relationship with real earnings management. It shows that AC size is not an important characteristic to curb </w:t>
      </w:r>
      <w:r w:rsidR="00CA1E33" w:rsidRPr="00B8097E">
        <w:rPr>
          <w:sz w:val="24"/>
        </w:rPr>
        <w:t>the activities</w:t>
      </w:r>
      <w:r w:rsidR="0082333D" w:rsidRPr="00B8097E">
        <w:rPr>
          <w:sz w:val="24"/>
        </w:rPr>
        <w:t xml:space="preserve"> of </w:t>
      </w:r>
      <w:r w:rsidRPr="00B8097E">
        <w:rPr>
          <w:sz w:val="24"/>
        </w:rPr>
        <w:t>real</w:t>
      </w:r>
      <w:r w:rsidR="0082333D" w:rsidRPr="00B8097E">
        <w:rPr>
          <w:sz w:val="24"/>
        </w:rPr>
        <w:t xml:space="preserve"> earnings management.</w:t>
      </w:r>
      <w:r w:rsidRPr="00B8097E">
        <w:rPr>
          <w:sz w:val="24"/>
        </w:rPr>
        <w:t xml:space="preserve"> Hence, hypothesis 4 that states AC size is negatively related to real earnings management is rejected. Overall, our results reveal that AC competence alone is the important factor to address issue</w:t>
      </w:r>
      <w:r w:rsidR="0082333D" w:rsidRPr="00B8097E">
        <w:rPr>
          <w:sz w:val="24"/>
        </w:rPr>
        <w:t xml:space="preserve"> on real earnings management</w:t>
      </w:r>
      <w:r w:rsidRPr="00B8097E">
        <w:rPr>
          <w:sz w:val="24"/>
        </w:rPr>
        <w:t xml:space="preserve">. </w:t>
      </w:r>
    </w:p>
    <w:p w14:paraId="3E808582" w14:textId="77777777" w:rsidR="00B8097E" w:rsidRPr="00B8097E" w:rsidRDefault="00B8097E" w:rsidP="003C7A42">
      <w:pPr>
        <w:rPr>
          <w:sz w:val="24"/>
        </w:rPr>
      </w:pPr>
    </w:p>
    <w:p w14:paraId="638EA4B7" w14:textId="77777777" w:rsidR="0092099D" w:rsidRPr="00B8097E" w:rsidRDefault="0092099D" w:rsidP="003C7A42">
      <w:pPr>
        <w:rPr>
          <w:rFonts w:ascii="Garamond" w:hAnsi="Garamond"/>
          <w:sz w:val="24"/>
        </w:rPr>
      </w:pPr>
    </w:p>
    <w:p w14:paraId="7251EE2C" w14:textId="77777777" w:rsidR="00307B43" w:rsidRPr="00B8097E" w:rsidRDefault="0092060A" w:rsidP="00B8097E">
      <w:pPr>
        <w:jc w:val="center"/>
        <w:rPr>
          <w:b/>
          <w:sz w:val="24"/>
        </w:rPr>
      </w:pPr>
      <w:r w:rsidRPr="00B8097E">
        <w:rPr>
          <w:b/>
          <w:sz w:val="24"/>
        </w:rPr>
        <w:t>CONCLUSION</w:t>
      </w:r>
    </w:p>
    <w:p w14:paraId="4C2B0B30" w14:textId="77777777" w:rsidR="0092060A" w:rsidRPr="00B8097E" w:rsidRDefault="0092060A" w:rsidP="003C7A42">
      <w:pPr>
        <w:rPr>
          <w:sz w:val="24"/>
        </w:rPr>
      </w:pPr>
    </w:p>
    <w:p w14:paraId="2A591E5C" w14:textId="77777777" w:rsidR="00B8097E" w:rsidRPr="00B8097E" w:rsidRDefault="00B8097E" w:rsidP="003C7A42">
      <w:pPr>
        <w:rPr>
          <w:sz w:val="24"/>
        </w:rPr>
      </w:pPr>
    </w:p>
    <w:p w14:paraId="37EE74CE" w14:textId="77777777" w:rsidR="0092060A" w:rsidRPr="00B8097E" w:rsidRDefault="0092060A" w:rsidP="003C7A42">
      <w:pPr>
        <w:rPr>
          <w:sz w:val="24"/>
        </w:rPr>
      </w:pPr>
      <w:r w:rsidRPr="00B8097E">
        <w:rPr>
          <w:sz w:val="24"/>
        </w:rPr>
        <w:t xml:space="preserve">Whether AC is able to effectively monitor financial reporting process is an important issue in corporate governance. This paper addresses the issue by examining the </w:t>
      </w:r>
      <w:r w:rsidR="00A11B9F" w:rsidRPr="00B8097E">
        <w:rPr>
          <w:sz w:val="24"/>
        </w:rPr>
        <w:t>effect of A</w:t>
      </w:r>
      <w:r w:rsidRPr="00B8097E">
        <w:rPr>
          <w:sz w:val="24"/>
        </w:rPr>
        <w:t>C competence, A</w:t>
      </w:r>
      <w:r w:rsidR="00C84D91" w:rsidRPr="00B8097E">
        <w:rPr>
          <w:sz w:val="24"/>
        </w:rPr>
        <w:t>C independence,</w:t>
      </w:r>
      <w:r w:rsidR="00A11B9F" w:rsidRPr="00B8097E">
        <w:rPr>
          <w:sz w:val="24"/>
        </w:rPr>
        <w:t xml:space="preserve"> AC meeting</w:t>
      </w:r>
      <w:r w:rsidR="00C84D91" w:rsidRPr="00B8097E">
        <w:rPr>
          <w:sz w:val="24"/>
        </w:rPr>
        <w:t xml:space="preserve"> and AC size</w:t>
      </w:r>
      <w:r w:rsidR="00A11B9F" w:rsidRPr="00B8097E">
        <w:rPr>
          <w:sz w:val="24"/>
        </w:rPr>
        <w:t xml:space="preserve"> on</w:t>
      </w:r>
      <w:r w:rsidRPr="00B8097E">
        <w:rPr>
          <w:sz w:val="24"/>
        </w:rPr>
        <w:t xml:space="preserve"> real earnings management. </w:t>
      </w:r>
      <w:r w:rsidR="00A11B9F" w:rsidRPr="00B8097E">
        <w:rPr>
          <w:sz w:val="24"/>
        </w:rPr>
        <w:t>Our sample is</w:t>
      </w:r>
      <w:r w:rsidRPr="00B8097E">
        <w:rPr>
          <w:sz w:val="24"/>
        </w:rPr>
        <w:t xml:space="preserve"> 1,178 firm-year observation</w:t>
      </w:r>
      <w:r w:rsidR="00A11B9F" w:rsidRPr="00B8097E">
        <w:rPr>
          <w:sz w:val="24"/>
        </w:rPr>
        <w:t>s</w:t>
      </w:r>
      <w:r w:rsidRPr="00B8097E">
        <w:rPr>
          <w:sz w:val="24"/>
        </w:rPr>
        <w:t xml:space="preserve"> of non-financial firms listed on Bursa Malaysia over the period 2012-2015.</w:t>
      </w:r>
      <w:r w:rsidR="00A11B9F" w:rsidRPr="00B8097E">
        <w:rPr>
          <w:sz w:val="24"/>
        </w:rPr>
        <w:t xml:space="preserve"> </w:t>
      </w:r>
      <w:r w:rsidR="009F69D7" w:rsidRPr="00B8097E">
        <w:rPr>
          <w:sz w:val="24"/>
        </w:rPr>
        <w:t>We find that only AC competence is an important AC characteristic that could hinder real earnings management. As the level of competence increases, the level of real earnings management decreases. Our results also show that high real earnings management is observed in firms with high AC meeting. This can be interpreted as that AC members meet more often as they need to address more financial issues. With regard to AC independence and size, there is no significant relationship with real earnings management. This result suggests that AC competence alone is the important characteristic to constrain real earnings management.</w:t>
      </w:r>
    </w:p>
    <w:p w14:paraId="5203E451" w14:textId="77777777" w:rsidR="009F69D7" w:rsidRPr="00B8097E" w:rsidRDefault="009F69D7" w:rsidP="003C7A42">
      <w:pPr>
        <w:rPr>
          <w:sz w:val="24"/>
        </w:rPr>
      </w:pPr>
    </w:p>
    <w:p w14:paraId="7A5ADD53" w14:textId="77777777" w:rsidR="00754B6E" w:rsidRPr="00B8097E" w:rsidRDefault="00754B6E" w:rsidP="003C7A42">
      <w:pPr>
        <w:autoSpaceDE w:val="0"/>
        <w:autoSpaceDN w:val="0"/>
        <w:adjustRightInd w:val="0"/>
        <w:rPr>
          <w:sz w:val="24"/>
        </w:rPr>
      </w:pPr>
      <w:r w:rsidRPr="00B8097E">
        <w:rPr>
          <w:b/>
          <w:sz w:val="24"/>
          <w:lang w:eastAsia="en-MY"/>
        </w:rPr>
        <w:t>Acknowledgments:</w:t>
      </w:r>
      <w:r w:rsidRPr="00B8097E">
        <w:rPr>
          <w:sz w:val="24"/>
          <w:lang w:eastAsia="en-MY"/>
        </w:rPr>
        <w:t xml:space="preserve"> We would like to thanks </w:t>
      </w:r>
      <w:proofErr w:type="spellStart"/>
      <w:r w:rsidRPr="00B8097E">
        <w:rPr>
          <w:sz w:val="24"/>
          <w:lang w:eastAsia="en-MY"/>
        </w:rPr>
        <w:t>Universiti</w:t>
      </w:r>
      <w:proofErr w:type="spellEnd"/>
      <w:r w:rsidRPr="00B8097E">
        <w:rPr>
          <w:sz w:val="24"/>
          <w:lang w:eastAsia="en-MY"/>
        </w:rPr>
        <w:t xml:space="preserve"> Utara Malaysia for granting the fund and the support for this research.</w:t>
      </w:r>
    </w:p>
    <w:p w14:paraId="0AE9BA8F" w14:textId="77777777" w:rsidR="00754B6E" w:rsidRPr="00B8097E" w:rsidRDefault="00754B6E" w:rsidP="003C7A42">
      <w:pPr>
        <w:tabs>
          <w:tab w:val="left" w:pos="903"/>
        </w:tabs>
        <w:ind w:left="426" w:hanging="426"/>
        <w:rPr>
          <w:b/>
          <w:sz w:val="24"/>
        </w:rPr>
      </w:pPr>
    </w:p>
    <w:p w14:paraId="43A6A7BC" w14:textId="77777777" w:rsidR="00B8097E" w:rsidRPr="00B8097E" w:rsidRDefault="00B8097E" w:rsidP="003C7A42">
      <w:pPr>
        <w:tabs>
          <w:tab w:val="left" w:pos="903"/>
        </w:tabs>
        <w:ind w:left="426" w:hanging="426"/>
        <w:rPr>
          <w:b/>
          <w:sz w:val="24"/>
        </w:rPr>
      </w:pPr>
    </w:p>
    <w:p w14:paraId="6B7DC271" w14:textId="77777777" w:rsidR="00280BBC" w:rsidRPr="00B8097E" w:rsidRDefault="00341A60" w:rsidP="00B8097E">
      <w:pPr>
        <w:tabs>
          <w:tab w:val="left" w:pos="903"/>
        </w:tabs>
        <w:ind w:left="426" w:hanging="426"/>
        <w:jc w:val="center"/>
        <w:rPr>
          <w:b/>
          <w:sz w:val="24"/>
        </w:rPr>
      </w:pPr>
      <w:r w:rsidRPr="00B8097E">
        <w:rPr>
          <w:b/>
          <w:sz w:val="24"/>
        </w:rPr>
        <w:t>REFERENCES</w:t>
      </w:r>
    </w:p>
    <w:p w14:paraId="52995F83" w14:textId="77777777" w:rsidR="00341A60" w:rsidRDefault="00341A60" w:rsidP="003C7A42">
      <w:pPr>
        <w:tabs>
          <w:tab w:val="left" w:pos="903"/>
        </w:tabs>
        <w:ind w:left="426" w:hanging="426"/>
        <w:rPr>
          <w:b/>
          <w:sz w:val="24"/>
        </w:rPr>
      </w:pPr>
    </w:p>
    <w:p w14:paraId="60F2052C" w14:textId="77777777" w:rsidR="00E51E6B" w:rsidRPr="00B8097E" w:rsidRDefault="00E51E6B" w:rsidP="003C7A42">
      <w:pPr>
        <w:tabs>
          <w:tab w:val="left" w:pos="903"/>
        </w:tabs>
        <w:ind w:left="426" w:hanging="426"/>
        <w:rPr>
          <w:b/>
          <w:sz w:val="24"/>
        </w:rPr>
      </w:pPr>
    </w:p>
    <w:p w14:paraId="3FBD47FE" w14:textId="77777777" w:rsidR="00341A60" w:rsidRPr="00B8097E" w:rsidRDefault="00341A60" w:rsidP="003C7A42">
      <w:pPr>
        <w:ind w:left="425" w:hanging="425"/>
        <w:rPr>
          <w:sz w:val="24"/>
        </w:rPr>
      </w:pPr>
      <w:r w:rsidRPr="00B8097E">
        <w:rPr>
          <w:sz w:val="24"/>
        </w:rPr>
        <w:t xml:space="preserve">Abbott, L. J., Parker, S., Peters, G. F. </w:t>
      </w:r>
      <w:r w:rsidR="005103E3" w:rsidRPr="00B8097E">
        <w:rPr>
          <w:sz w:val="24"/>
        </w:rPr>
        <w:t>&amp;</w:t>
      </w:r>
      <w:r w:rsidRPr="00B8097E">
        <w:rPr>
          <w:sz w:val="24"/>
        </w:rPr>
        <w:t xml:space="preserve"> </w:t>
      </w:r>
      <w:proofErr w:type="spellStart"/>
      <w:r w:rsidRPr="00B8097E">
        <w:rPr>
          <w:sz w:val="24"/>
        </w:rPr>
        <w:t>Raghunandan</w:t>
      </w:r>
      <w:proofErr w:type="spellEnd"/>
      <w:r w:rsidRPr="00B8097E">
        <w:rPr>
          <w:sz w:val="24"/>
        </w:rPr>
        <w:t xml:space="preserve">, K. (2003). The association between audit committee characteristics and audit fees. </w:t>
      </w:r>
      <w:r w:rsidRPr="00B8097E">
        <w:rPr>
          <w:i/>
          <w:sz w:val="24"/>
        </w:rPr>
        <w:t>Auditing: A Journal of Practice &amp; Theory,</w:t>
      </w:r>
      <w:r w:rsidRPr="00B8097E">
        <w:rPr>
          <w:sz w:val="24"/>
        </w:rPr>
        <w:t xml:space="preserve"> vol. 22 (2), 17-32.</w:t>
      </w:r>
    </w:p>
    <w:p w14:paraId="5B7FC166" w14:textId="77777777" w:rsidR="00341A60" w:rsidRPr="00B8097E" w:rsidRDefault="00341A60" w:rsidP="003C7A42">
      <w:pPr>
        <w:ind w:left="425" w:hanging="425"/>
        <w:rPr>
          <w:sz w:val="24"/>
        </w:rPr>
      </w:pPr>
      <w:r w:rsidRPr="00B8097E">
        <w:rPr>
          <w:sz w:val="24"/>
        </w:rPr>
        <w:t xml:space="preserve">Abbott, L. J., Parker, S. </w:t>
      </w:r>
      <w:r w:rsidR="005103E3" w:rsidRPr="00B8097E">
        <w:rPr>
          <w:sz w:val="24"/>
        </w:rPr>
        <w:t>&amp;</w:t>
      </w:r>
      <w:r w:rsidRPr="00B8097E">
        <w:rPr>
          <w:sz w:val="24"/>
        </w:rPr>
        <w:t xml:space="preserve"> Peters, G. F. (2004). Audit committee characteristics and </w:t>
      </w:r>
      <w:r w:rsidRPr="00B8097E">
        <w:rPr>
          <w:sz w:val="24"/>
        </w:rPr>
        <w:lastRenderedPageBreak/>
        <w:t xml:space="preserve">restatements. </w:t>
      </w:r>
      <w:r w:rsidRPr="00B8097E">
        <w:rPr>
          <w:i/>
          <w:sz w:val="24"/>
        </w:rPr>
        <w:t>Auditing: A Journal of Practice &amp; Theory,</w:t>
      </w:r>
      <w:r w:rsidRPr="00B8097E">
        <w:rPr>
          <w:sz w:val="24"/>
        </w:rPr>
        <w:t xml:space="preserve"> vol. 23 (1), 47-66.</w:t>
      </w:r>
    </w:p>
    <w:p w14:paraId="4F2B55FF" w14:textId="77777777" w:rsidR="003C6C62" w:rsidRPr="00B8097E" w:rsidRDefault="003C6C62" w:rsidP="003C7A42">
      <w:pPr>
        <w:ind w:left="425" w:hanging="425"/>
        <w:rPr>
          <w:sz w:val="24"/>
        </w:rPr>
      </w:pPr>
      <w:r w:rsidRPr="00B8097E">
        <w:rPr>
          <w:sz w:val="24"/>
        </w:rPr>
        <w:t>Abdul-</w:t>
      </w:r>
      <w:proofErr w:type="spellStart"/>
      <w:r w:rsidRPr="00B8097E">
        <w:rPr>
          <w:sz w:val="24"/>
        </w:rPr>
        <w:t>Manaf</w:t>
      </w:r>
      <w:proofErr w:type="spellEnd"/>
      <w:r w:rsidRPr="00B8097E">
        <w:rPr>
          <w:sz w:val="24"/>
        </w:rPr>
        <w:t xml:space="preserve">, K.B., </w:t>
      </w:r>
      <w:proofErr w:type="spellStart"/>
      <w:r w:rsidRPr="00B8097E">
        <w:rPr>
          <w:sz w:val="24"/>
        </w:rPr>
        <w:t>Abidin</w:t>
      </w:r>
      <w:proofErr w:type="spellEnd"/>
      <w:r w:rsidRPr="00B8097E">
        <w:rPr>
          <w:sz w:val="24"/>
        </w:rPr>
        <w:t xml:space="preserve">, S., &amp; </w:t>
      </w:r>
      <w:proofErr w:type="spellStart"/>
      <w:r w:rsidRPr="00B8097E">
        <w:rPr>
          <w:sz w:val="24"/>
        </w:rPr>
        <w:t>Zainol</w:t>
      </w:r>
      <w:proofErr w:type="spellEnd"/>
      <w:r w:rsidRPr="00B8097E">
        <w:rPr>
          <w:sz w:val="24"/>
        </w:rPr>
        <w:t xml:space="preserve"> </w:t>
      </w:r>
      <w:proofErr w:type="spellStart"/>
      <w:r w:rsidRPr="00B8097E">
        <w:rPr>
          <w:sz w:val="24"/>
        </w:rPr>
        <w:t>Abidin</w:t>
      </w:r>
      <w:proofErr w:type="spellEnd"/>
      <w:r w:rsidRPr="00B8097E">
        <w:rPr>
          <w:sz w:val="24"/>
        </w:rPr>
        <w:t xml:space="preserve">, A. (2018). Audit committee independence, audit committee competence and earnings informativeness. </w:t>
      </w:r>
      <w:r w:rsidRPr="00B8097E">
        <w:rPr>
          <w:i/>
          <w:sz w:val="24"/>
        </w:rPr>
        <w:t>Herald NAMSCA</w:t>
      </w:r>
      <w:r w:rsidRPr="00B8097E">
        <w:rPr>
          <w:sz w:val="24"/>
        </w:rPr>
        <w:t>, 1, 1171-1175.</w:t>
      </w:r>
    </w:p>
    <w:p w14:paraId="4C8EFFB6" w14:textId="77777777" w:rsidR="00341A60" w:rsidRPr="00B8097E" w:rsidRDefault="00341A60" w:rsidP="003C7A42">
      <w:pPr>
        <w:ind w:left="425" w:hanging="425"/>
        <w:rPr>
          <w:sz w:val="24"/>
        </w:rPr>
      </w:pPr>
      <w:proofErr w:type="spellStart"/>
      <w:r w:rsidRPr="00B8097E">
        <w:rPr>
          <w:sz w:val="24"/>
        </w:rPr>
        <w:t>Aier</w:t>
      </w:r>
      <w:proofErr w:type="spellEnd"/>
      <w:r w:rsidRPr="00B8097E">
        <w:rPr>
          <w:sz w:val="24"/>
        </w:rPr>
        <w:t xml:space="preserve">, J. K., </w:t>
      </w:r>
      <w:proofErr w:type="spellStart"/>
      <w:r w:rsidRPr="00B8097E">
        <w:rPr>
          <w:sz w:val="24"/>
        </w:rPr>
        <w:t>Comprix</w:t>
      </w:r>
      <w:proofErr w:type="spellEnd"/>
      <w:r w:rsidRPr="00B8097E">
        <w:rPr>
          <w:sz w:val="24"/>
        </w:rPr>
        <w:t xml:space="preserve">, J., Gunlock, M. T. </w:t>
      </w:r>
      <w:r w:rsidR="005103E3" w:rsidRPr="00B8097E">
        <w:rPr>
          <w:sz w:val="24"/>
        </w:rPr>
        <w:t>&amp;</w:t>
      </w:r>
      <w:r w:rsidRPr="00B8097E">
        <w:rPr>
          <w:sz w:val="24"/>
        </w:rPr>
        <w:t xml:space="preserve"> Lee, D. 2005. The financial expertise of CFOs and accounting restatements. </w:t>
      </w:r>
      <w:r w:rsidRPr="00B8097E">
        <w:rPr>
          <w:i/>
          <w:sz w:val="24"/>
        </w:rPr>
        <w:t>Accounting Horizons,</w:t>
      </w:r>
      <w:r w:rsidRPr="00B8097E">
        <w:rPr>
          <w:sz w:val="24"/>
        </w:rPr>
        <w:t xml:space="preserve"> vol. 19 (3), 123-135.</w:t>
      </w:r>
    </w:p>
    <w:p w14:paraId="24F4CE6C" w14:textId="77777777" w:rsidR="00341A60" w:rsidRPr="00B8097E" w:rsidRDefault="00341A60" w:rsidP="003C7A42">
      <w:pPr>
        <w:ind w:left="425" w:hanging="425"/>
        <w:rPr>
          <w:sz w:val="24"/>
        </w:rPr>
      </w:pPr>
      <w:r w:rsidRPr="00B8097E">
        <w:rPr>
          <w:sz w:val="24"/>
        </w:rPr>
        <w:t xml:space="preserve">Beasley, M. S. 1996. An empirical analysis of the relation between the board of </w:t>
      </w:r>
      <w:proofErr w:type="gramStart"/>
      <w:r w:rsidRPr="00B8097E">
        <w:rPr>
          <w:sz w:val="24"/>
        </w:rPr>
        <w:t>directors</w:t>
      </w:r>
      <w:proofErr w:type="gramEnd"/>
      <w:r w:rsidRPr="00B8097E">
        <w:rPr>
          <w:sz w:val="24"/>
        </w:rPr>
        <w:t xml:space="preserve"> composition and financial statement fraud. </w:t>
      </w:r>
      <w:r w:rsidRPr="00B8097E">
        <w:rPr>
          <w:i/>
          <w:sz w:val="24"/>
        </w:rPr>
        <w:t>The Accounting Review</w:t>
      </w:r>
      <w:r w:rsidRPr="00B8097E">
        <w:rPr>
          <w:sz w:val="24"/>
        </w:rPr>
        <w:t>, vol. 71 (4), 443-465.</w:t>
      </w:r>
    </w:p>
    <w:p w14:paraId="5E9FCEE3" w14:textId="77777777" w:rsidR="00901320" w:rsidRPr="00B8097E" w:rsidRDefault="00901320" w:rsidP="003C7A42">
      <w:pPr>
        <w:tabs>
          <w:tab w:val="left" w:pos="426"/>
        </w:tabs>
        <w:ind w:left="425" w:hanging="425"/>
        <w:rPr>
          <w:sz w:val="24"/>
        </w:rPr>
      </w:pPr>
      <w:r w:rsidRPr="00B8097E">
        <w:rPr>
          <w:sz w:val="24"/>
        </w:rPr>
        <w:t xml:space="preserve">Bedard, J., </w:t>
      </w:r>
      <w:proofErr w:type="spellStart"/>
      <w:r w:rsidRPr="00B8097E">
        <w:rPr>
          <w:sz w:val="24"/>
        </w:rPr>
        <w:t>Chtourou</w:t>
      </w:r>
      <w:proofErr w:type="spellEnd"/>
      <w:r w:rsidRPr="00B8097E">
        <w:rPr>
          <w:sz w:val="24"/>
        </w:rPr>
        <w:t xml:space="preserve">, S. M. </w:t>
      </w:r>
      <w:r w:rsidR="005103E3" w:rsidRPr="00B8097E">
        <w:rPr>
          <w:sz w:val="24"/>
        </w:rPr>
        <w:t>&amp;</w:t>
      </w:r>
      <w:r w:rsidRPr="00B8097E">
        <w:rPr>
          <w:sz w:val="24"/>
        </w:rPr>
        <w:t xml:space="preserve"> </w:t>
      </w:r>
      <w:proofErr w:type="spellStart"/>
      <w:r w:rsidRPr="00B8097E">
        <w:rPr>
          <w:sz w:val="24"/>
        </w:rPr>
        <w:t>Courteau</w:t>
      </w:r>
      <w:proofErr w:type="spellEnd"/>
      <w:r w:rsidRPr="00B8097E">
        <w:rPr>
          <w:sz w:val="24"/>
        </w:rPr>
        <w:t xml:space="preserve">, L. (2004). The effect of audit committee expertise, independence and activity on aggressive earnings management. </w:t>
      </w:r>
      <w:r w:rsidRPr="00B8097E">
        <w:rPr>
          <w:i/>
          <w:sz w:val="24"/>
        </w:rPr>
        <w:t>Auditing: A Journal of Practice and Theory</w:t>
      </w:r>
      <w:r w:rsidRPr="00B8097E">
        <w:rPr>
          <w:sz w:val="24"/>
        </w:rPr>
        <w:t xml:space="preserve">, 23, 13-35. </w:t>
      </w:r>
    </w:p>
    <w:p w14:paraId="33D0C982" w14:textId="77777777" w:rsidR="00070637" w:rsidRPr="00B8097E" w:rsidRDefault="00070637" w:rsidP="003C7A42">
      <w:pPr>
        <w:tabs>
          <w:tab w:val="left" w:pos="426"/>
        </w:tabs>
        <w:ind w:left="425" w:hanging="425"/>
        <w:rPr>
          <w:sz w:val="24"/>
        </w:rPr>
      </w:pPr>
      <w:r w:rsidRPr="00B8097E">
        <w:rPr>
          <w:sz w:val="24"/>
        </w:rPr>
        <w:t xml:space="preserve">Blue Ribbon Committee (BRC). (1999). </w:t>
      </w:r>
      <w:r w:rsidRPr="00B8097E">
        <w:rPr>
          <w:i/>
          <w:sz w:val="24"/>
        </w:rPr>
        <w:t>Report and Recommendations of the Blue Ribbon Committee on Improving the Effectiveness of Corporate Audit Committees</w:t>
      </w:r>
      <w:r w:rsidRPr="00B8097E">
        <w:rPr>
          <w:sz w:val="24"/>
        </w:rPr>
        <w:t>. Stamford, CT: BRC.</w:t>
      </w:r>
    </w:p>
    <w:p w14:paraId="6BCF6168" w14:textId="77777777" w:rsidR="00B20CB2" w:rsidRPr="00B8097E" w:rsidRDefault="00B20CB2" w:rsidP="003C7A42">
      <w:pPr>
        <w:autoSpaceDE w:val="0"/>
        <w:autoSpaceDN w:val="0"/>
        <w:adjustRightInd w:val="0"/>
        <w:ind w:left="425" w:hanging="425"/>
        <w:rPr>
          <w:sz w:val="24"/>
        </w:rPr>
      </w:pPr>
      <w:proofErr w:type="spellStart"/>
      <w:r w:rsidRPr="00B8097E">
        <w:rPr>
          <w:sz w:val="24"/>
        </w:rPr>
        <w:t>Bushee</w:t>
      </w:r>
      <w:proofErr w:type="spellEnd"/>
      <w:r w:rsidRPr="00B8097E">
        <w:rPr>
          <w:sz w:val="24"/>
        </w:rPr>
        <w:t xml:space="preserve">, B. (1998). The influence of institutional investors on myopic R&amp;D investment behavior. </w:t>
      </w:r>
      <w:r w:rsidRPr="00B8097E">
        <w:rPr>
          <w:i/>
          <w:sz w:val="24"/>
        </w:rPr>
        <w:t>Accounting Review</w:t>
      </w:r>
      <w:r w:rsidR="008956EE" w:rsidRPr="00B8097E">
        <w:rPr>
          <w:i/>
          <w:sz w:val="24"/>
        </w:rPr>
        <w:t>,</w:t>
      </w:r>
      <w:r w:rsidRPr="00B8097E">
        <w:rPr>
          <w:sz w:val="24"/>
        </w:rPr>
        <w:t xml:space="preserve"> 73, 305–333.</w:t>
      </w:r>
    </w:p>
    <w:p w14:paraId="0DD8C32D" w14:textId="77777777" w:rsidR="00341A60" w:rsidRPr="00B8097E" w:rsidRDefault="00341A60" w:rsidP="003C7A42">
      <w:pPr>
        <w:ind w:left="425" w:hanging="425"/>
        <w:rPr>
          <w:sz w:val="24"/>
        </w:rPr>
      </w:pPr>
      <w:proofErr w:type="spellStart"/>
      <w:r w:rsidRPr="00B8097E">
        <w:rPr>
          <w:sz w:val="24"/>
        </w:rPr>
        <w:t>Carcello</w:t>
      </w:r>
      <w:proofErr w:type="spellEnd"/>
      <w:r w:rsidRPr="00B8097E">
        <w:rPr>
          <w:sz w:val="24"/>
        </w:rPr>
        <w:t xml:space="preserve">, J. V., Hermanson, D. R., Neal, T. L. </w:t>
      </w:r>
      <w:r w:rsidR="005103E3" w:rsidRPr="00B8097E">
        <w:rPr>
          <w:sz w:val="24"/>
        </w:rPr>
        <w:t>&amp;</w:t>
      </w:r>
      <w:r w:rsidRPr="00B8097E">
        <w:rPr>
          <w:sz w:val="24"/>
        </w:rPr>
        <w:t xml:space="preserve"> Riley, R. A. (2002). Board characteristics and audit fees. </w:t>
      </w:r>
      <w:r w:rsidRPr="00B8097E">
        <w:rPr>
          <w:i/>
          <w:sz w:val="24"/>
        </w:rPr>
        <w:t>Contemporary Accounting Research</w:t>
      </w:r>
      <w:r w:rsidR="00B20CB2" w:rsidRPr="00B8097E">
        <w:rPr>
          <w:sz w:val="24"/>
        </w:rPr>
        <w:t xml:space="preserve">, </w:t>
      </w:r>
      <w:r w:rsidRPr="00B8097E">
        <w:rPr>
          <w:sz w:val="24"/>
        </w:rPr>
        <w:t>19 (3), 365-384.</w:t>
      </w:r>
    </w:p>
    <w:p w14:paraId="4FC45A81" w14:textId="77777777" w:rsidR="00B20CB2" w:rsidRPr="00B8097E" w:rsidRDefault="00B20CB2" w:rsidP="003C7A42">
      <w:pPr>
        <w:autoSpaceDE w:val="0"/>
        <w:autoSpaceDN w:val="0"/>
        <w:adjustRightInd w:val="0"/>
        <w:ind w:left="425" w:hanging="425"/>
        <w:rPr>
          <w:color w:val="000000" w:themeColor="text1"/>
          <w:sz w:val="24"/>
        </w:rPr>
      </w:pPr>
      <w:proofErr w:type="spellStart"/>
      <w:r w:rsidRPr="00B8097E">
        <w:rPr>
          <w:sz w:val="24"/>
        </w:rPr>
        <w:t>Dechow</w:t>
      </w:r>
      <w:proofErr w:type="spellEnd"/>
      <w:r w:rsidRPr="00B8097E">
        <w:rPr>
          <w:sz w:val="24"/>
        </w:rPr>
        <w:t xml:space="preserve">, P.M., Sloan, R. (1991). Executive incentives and the horizon problem: an empirical investigation. </w:t>
      </w:r>
      <w:r w:rsidRPr="00B8097E">
        <w:rPr>
          <w:i/>
          <w:sz w:val="24"/>
        </w:rPr>
        <w:t>Journal of Accounting and Economics</w:t>
      </w:r>
      <w:r w:rsidR="008956EE" w:rsidRPr="00B8097E">
        <w:rPr>
          <w:sz w:val="24"/>
        </w:rPr>
        <w:t>,</w:t>
      </w:r>
      <w:r w:rsidRPr="00B8097E">
        <w:rPr>
          <w:sz w:val="24"/>
        </w:rPr>
        <w:t xml:space="preserve"> 14, 51–89.</w:t>
      </w:r>
    </w:p>
    <w:p w14:paraId="3AD0F9CE" w14:textId="77777777" w:rsidR="00901320" w:rsidRPr="00B8097E" w:rsidRDefault="00901320" w:rsidP="003C7A42">
      <w:pPr>
        <w:pStyle w:val="ListParagraph"/>
        <w:spacing w:after="0" w:line="240" w:lineRule="auto"/>
        <w:ind w:left="425" w:hanging="425"/>
        <w:jc w:val="both"/>
        <w:rPr>
          <w:rFonts w:ascii="Times New Roman" w:hAnsi="Times New Roman"/>
          <w:color w:val="000000" w:themeColor="text1"/>
          <w:sz w:val="24"/>
          <w:szCs w:val="24"/>
        </w:rPr>
      </w:pPr>
      <w:proofErr w:type="spellStart"/>
      <w:r w:rsidRPr="00B8097E">
        <w:rPr>
          <w:rFonts w:ascii="Times New Roman" w:hAnsi="Times New Roman"/>
          <w:color w:val="000000" w:themeColor="text1"/>
          <w:sz w:val="24"/>
          <w:szCs w:val="24"/>
        </w:rPr>
        <w:t>Defond</w:t>
      </w:r>
      <w:proofErr w:type="spellEnd"/>
      <w:r w:rsidRPr="00B8097E">
        <w:rPr>
          <w:rFonts w:ascii="Times New Roman" w:hAnsi="Times New Roman"/>
          <w:color w:val="000000" w:themeColor="text1"/>
          <w:sz w:val="24"/>
          <w:szCs w:val="24"/>
        </w:rPr>
        <w:t xml:space="preserve">, M. L., Hann, R. N. &amp; Hu, X. (2005). Does the market value financial expertise on audit committees of boards of directors? </w:t>
      </w:r>
      <w:r w:rsidRPr="00B8097E">
        <w:rPr>
          <w:rFonts w:ascii="Times New Roman" w:hAnsi="Times New Roman"/>
          <w:i/>
          <w:color w:val="000000" w:themeColor="text1"/>
          <w:sz w:val="24"/>
          <w:szCs w:val="24"/>
        </w:rPr>
        <w:t>Journal of Accounting Research</w:t>
      </w:r>
      <w:r w:rsidRPr="00B8097E">
        <w:rPr>
          <w:rFonts w:ascii="Times New Roman" w:hAnsi="Times New Roman"/>
          <w:color w:val="000000" w:themeColor="text1"/>
          <w:sz w:val="24"/>
          <w:szCs w:val="24"/>
        </w:rPr>
        <w:t xml:space="preserve">, 43 (2), 153-193. </w:t>
      </w:r>
    </w:p>
    <w:p w14:paraId="7E0C1FBC" w14:textId="77777777" w:rsidR="00645C9A" w:rsidRPr="00B8097E" w:rsidRDefault="00645C9A" w:rsidP="003C7A42">
      <w:pPr>
        <w:ind w:left="425" w:hanging="425"/>
        <w:rPr>
          <w:sz w:val="24"/>
        </w:rPr>
      </w:pPr>
      <w:r w:rsidRPr="00B8097E">
        <w:rPr>
          <w:sz w:val="24"/>
        </w:rPr>
        <w:t xml:space="preserve">Farber, D. 2005. Restoring trust after fraud: does corporate governance matter? </w:t>
      </w:r>
      <w:r w:rsidRPr="00B8097E">
        <w:rPr>
          <w:i/>
          <w:sz w:val="24"/>
        </w:rPr>
        <w:t>The Accounting Review</w:t>
      </w:r>
      <w:r w:rsidRPr="00B8097E">
        <w:rPr>
          <w:sz w:val="24"/>
        </w:rPr>
        <w:t>, vol. 80 (2), 539-561.</w:t>
      </w:r>
    </w:p>
    <w:p w14:paraId="322A6F93" w14:textId="77777777" w:rsidR="004338DC" w:rsidRPr="00B8097E" w:rsidRDefault="004338DC" w:rsidP="003C7A42">
      <w:pPr>
        <w:ind w:left="425" w:hanging="425"/>
        <w:rPr>
          <w:sz w:val="24"/>
        </w:rPr>
      </w:pPr>
      <w:r w:rsidRPr="00B8097E">
        <w:rPr>
          <w:sz w:val="24"/>
        </w:rPr>
        <w:t xml:space="preserve">Garcia, L.S., </w:t>
      </w:r>
      <w:proofErr w:type="spellStart"/>
      <w:r w:rsidRPr="00B8097E">
        <w:rPr>
          <w:sz w:val="24"/>
        </w:rPr>
        <w:t>Barbadillo</w:t>
      </w:r>
      <w:proofErr w:type="spellEnd"/>
      <w:r w:rsidRPr="00B8097E">
        <w:rPr>
          <w:sz w:val="24"/>
        </w:rPr>
        <w:t xml:space="preserve">, E.R., &amp; Perez, M.O. (2012). Audit committee and internal audit and the quality of earnings: empirical evidence from Spanish companies. </w:t>
      </w:r>
      <w:r w:rsidRPr="00B8097E">
        <w:rPr>
          <w:i/>
          <w:sz w:val="24"/>
        </w:rPr>
        <w:t>Journal of Management &amp; Governance,</w:t>
      </w:r>
      <w:r w:rsidRPr="00B8097E">
        <w:rPr>
          <w:sz w:val="24"/>
        </w:rPr>
        <w:t xml:space="preserve"> 16(2), 305-331.</w:t>
      </w:r>
    </w:p>
    <w:p w14:paraId="2107330B" w14:textId="77777777" w:rsidR="000B4F61" w:rsidRPr="00B8097E" w:rsidRDefault="000B4F61" w:rsidP="003C7A42">
      <w:pPr>
        <w:ind w:left="425" w:hanging="425"/>
        <w:rPr>
          <w:sz w:val="24"/>
        </w:rPr>
      </w:pPr>
      <w:proofErr w:type="spellStart"/>
      <w:r w:rsidRPr="00B8097E">
        <w:rPr>
          <w:sz w:val="24"/>
        </w:rPr>
        <w:t>Ghafran</w:t>
      </w:r>
      <w:proofErr w:type="spellEnd"/>
      <w:r w:rsidRPr="00B8097E">
        <w:rPr>
          <w:sz w:val="24"/>
        </w:rPr>
        <w:t>, C., &amp; O’Sullivan, N. (2013</w:t>
      </w:r>
      <w:r w:rsidR="00A37125" w:rsidRPr="00B8097E">
        <w:rPr>
          <w:sz w:val="24"/>
        </w:rPr>
        <w:t xml:space="preserve">). The governance role of audit committees: Reviewing a decade of evidence. </w:t>
      </w:r>
      <w:r w:rsidR="00A37125" w:rsidRPr="00B8097E">
        <w:rPr>
          <w:i/>
          <w:sz w:val="24"/>
        </w:rPr>
        <w:t xml:space="preserve">International Journal of Management Reviews, </w:t>
      </w:r>
      <w:r w:rsidR="00A37125" w:rsidRPr="00B8097E">
        <w:rPr>
          <w:sz w:val="24"/>
        </w:rPr>
        <w:t xml:space="preserve">15(4), 381-407. </w:t>
      </w:r>
    </w:p>
    <w:p w14:paraId="2C3E0244" w14:textId="77777777" w:rsidR="008956EE" w:rsidRPr="00B8097E" w:rsidRDefault="008956EE" w:rsidP="003C7A42">
      <w:pPr>
        <w:autoSpaceDE w:val="0"/>
        <w:autoSpaceDN w:val="0"/>
        <w:adjustRightInd w:val="0"/>
        <w:ind w:left="425" w:hanging="425"/>
        <w:rPr>
          <w:sz w:val="24"/>
        </w:rPr>
      </w:pPr>
      <w:r w:rsidRPr="00B8097E">
        <w:rPr>
          <w:sz w:val="24"/>
        </w:rPr>
        <w:t xml:space="preserve">Ghosh, A., </w:t>
      </w:r>
      <w:proofErr w:type="spellStart"/>
      <w:r w:rsidRPr="00B8097E">
        <w:rPr>
          <w:sz w:val="24"/>
        </w:rPr>
        <w:t>Marra</w:t>
      </w:r>
      <w:proofErr w:type="spellEnd"/>
      <w:r w:rsidRPr="00B8097E">
        <w:rPr>
          <w:sz w:val="24"/>
        </w:rPr>
        <w:t xml:space="preserve">, A., &amp; Moon, D. (2010). Corporate boards, audit committees and earnings management: Pre and post SOX evidence. </w:t>
      </w:r>
      <w:r w:rsidRPr="00B8097E">
        <w:rPr>
          <w:i/>
          <w:sz w:val="24"/>
        </w:rPr>
        <w:t>Journal of Business Finance &amp; Accounting,</w:t>
      </w:r>
      <w:r w:rsidRPr="00B8097E">
        <w:rPr>
          <w:sz w:val="24"/>
        </w:rPr>
        <w:t xml:space="preserve"> 37(9-10), 1145-1176.</w:t>
      </w:r>
    </w:p>
    <w:p w14:paraId="61E9B94D" w14:textId="77777777" w:rsidR="00B20CB2" w:rsidRPr="00B8097E" w:rsidRDefault="00B20CB2" w:rsidP="003C7A42">
      <w:pPr>
        <w:autoSpaceDE w:val="0"/>
        <w:autoSpaceDN w:val="0"/>
        <w:adjustRightInd w:val="0"/>
        <w:ind w:left="425" w:hanging="425"/>
        <w:rPr>
          <w:sz w:val="24"/>
        </w:rPr>
      </w:pPr>
      <w:r w:rsidRPr="00B8097E">
        <w:rPr>
          <w:sz w:val="24"/>
        </w:rPr>
        <w:t xml:space="preserve">Graham, J.R., Harvey, C.R., </w:t>
      </w:r>
      <w:proofErr w:type="spellStart"/>
      <w:r w:rsidRPr="00B8097E">
        <w:rPr>
          <w:sz w:val="24"/>
        </w:rPr>
        <w:t>Rajgopal</w:t>
      </w:r>
      <w:proofErr w:type="spellEnd"/>
      <w:r w:rsidRPr="00B8097E">
        <w:rPr>
          <w:sz w:val="24"/>
        </w:rPr>
        <w:t xml:space="preserve">, S. (2005). The economic implications of corporate financial reporting. </w:t>
      </w:r>
      <w:r w:rsidRPr="00B8097E">
        <w:rPr>
          <w:i/>
          <w:sz w:val="24"/>
        </w:rPr>
        <w:t>Journal of Accounting and Economics</w:t>
      </w:r>
      <w:r w:rsidR="008956EE" w:rsidRPr="00B8097E">
        <w:rPr>
          <w:sz w:val="24"/>
        </w:rPr>
        <w:t>,</w:t>
      </w:r>
      <w:r w:rsidRPr="00B8097E">
        <w:rPr>
          <w:sz w:val="24"/>
        </w:rPr>
        <w:t xml:space="preserve"> 40, 3–73.</w:t>
      </w:r>
    </w:p>
    <w:p w14:paraId="5E76AD91" w14:textId="77777777" w:rsidR="00B20CB2" w:rsidRPr="00B8097E" w:rsidRDefault="00B20CB2" w:rsidP="003C7A42">
      <w:pPr>
        <w:autoSpaceDE w:val="0"/>
        <w:autoSpaceDN w:val="0"/>
        <w:adjustRightInd w:val="0"/>
        <w:ind w:left="425" w:hanging="425"/>
        <w:rPr>
          <w:sz w:val="24"/>
        </w:rPr>
      </w:pPr>
      <w:r w:rsidRPr="00B8097E">
        <w:rPr>
          <w:sz w:val="24"/>
        </w:rPr>
        <w:t xml:space="preserve">Healy, P.M., </w:t>
      </w:r>
      <w:proofErr w:type="spellStart"/>
      <w:r w:rsidRPr="00B8097E">
        <w:rPr>
          <w:sz w:val="24"/>
        </w:rPr>
        <w:t>Wahlen</w:t>
      </w:r>
      <w:proofErr w:type="spellEnd"/>
      <w:r w:rsidRPr="00B8097E">
        <w:rPr>
          <w:sz w:val="24"/>
        </w:rPr>
        <w:t xml:space="preserve">, J.M. (1999). A review of the earnings management literature and its implications for standard setting. </w:t>
      </w:r>
      <w:r w:rsidRPr="00B8097E">
        <w:rPr>
          <w:i/>
          <w:sz w:val="24"/>
        </w:rPr>
        <w:t>Accounting Horizons</w:t>
      </w:r>
      <w:r w:rsidR="008956EE" w:rsidRPr="00B8097E">
        <w:rPr>
          <w:sz w:val="24"/>
        </w:rPr>
        <w:t>,</w:t>
      </w:r>
      <w:r w:rsidRPr="00B8097E">
        <w:rPr>
          <w:sz w:val="24"/>
        </w:rPr>
        <w:t xml:space="preserve"> 13, 365–383.</w:t>
      </w:r>
    </w:p>
    <w:p w14:paraId="09ED716A" w14:textId="77777777" w:rsidR="004338DC" w:rsidRPr="00B8097E" w:rsidRDefault="004338DC" w:rsidP="003C7A42">
      <w:pPr>
        <w:ind w:left="425" w:hanging="425"/>
        <w:rPr>
          <w:sz w:val="24"/>
        </w:rPr>
      </w:pPr>
      <w:proofErr w:type="spellStart"/>
      <w:r w:rsidRPr="00B8097E">
        <w:rPr>
          <w:sz w:val="24"/>
        </w:rPr>
        <w:t>Inaam</w:t>
      </w:r>
      <w:proofErr w:type="spellEnd"/>
      <w:r w:rsidRPr="00B8097E">
        <w:rPr>
          <w:sz w:val="24"/>
        </w:rPr>
        <w:t xml:space="preserve">, Z., </w:t>
      </w:r>
      <w:proofErr w:type="spellStart"/>
      <w:r w:rsidRPr="00B8097E">
        <w:rPr>
          <w:sz w:val="24"/>
        </w:rPr>
        <w:t>Khmoussi</w:t>
      </w:r>
      <w:proofErr w:type="spellEnd"/>
      <w:r w:rsidRPr="00B8097E">
        <w:rPr>
          <w:sz w:val="24"/>
        </w:rPr>
        <w:t xml:space="preserve">, H., &amp; Fatma, Z. (2012). The effect of audit committee characteristics on real activities manipulation in the Tunisian context. </w:t>
      </w:r>
      <w:r w:rsidRPr="00B8097E">
        <w:rPr>
          <w:i/>
          <w:sz w:val="24"/>
        </w:rPr>
        <w:t>International Journal of Multidisciplinary Research</w:t>
      </w:r>
      <w:r w:rsidRPr="00B8097E">
        <w:rPr>
          <w:sz w:val="24"/>
        </w:rPr>
        <w:t>, 2(2), 1-15.</w:t>
      </w:r>
    </w:p>
    <w:p w14:paraId="7524ABE6" w14:textId="77777777" w:rsidR="00341A60" w:rsidRPr="00B8097E" w:rsidRDefault="00341A60" w:rsidP="003C7A42">
      <w:pPr>
        <w:ind w:left="425" w:hanging="425"/>
        <w:rPr>
          <w:sz w:val="24"/>
        </w:rPr>
      </w:pPr>
      <w:proofErr w:type="spellStart"/>
      <w:r w:rsidRPr="00B8097E">
        <w:rPr>
          <w:sz w:val="24"/>
        </w:rPr>
        <w:t>Lary</w:t>
      </w:r>
      <w:proofErr w:type="spellEnd"/>
      <w:r w:rsidRPr="00B8097E">
        <w:rPr>
          <w:sz w:val="24"/>
        </w:rPr>
        <w:t xml:space="preserve">, A. M. </w:t>
      </w:r>
      <w:r w:rsidR="005103E3" w:rsidRPr="00B8097E">
        <w:rPr>
          <w:sz w:val="24"/>
        </w:rPr>
        <w:t>&amp;</w:t>
      </w:r>
      <w:r w:rsidRPr="00B8097E">
        <w:rPr>
          <w:sz w:val="24"/>
        </w:rPr>
        <w:t xml:space="preserve"> Taylor, D. W. (2012). Governance characteristics and role effectiveness of audit committees. </w:t>
      </w:r>
      <w:r w:rsidRPr="00B8097E">
        <w:rPr>
          <w:i/>
          <w:sz w:val="24"/>
        </w:rPr>
        <w:t>Managerial Auditing Journal,</w:t>
      </w:r>
      <w:r w:rsidRPr="00B8097E">
        <w:rPr>
          <w:sz w:val="24"/>
        </w:rPr>
        <w:t xml:space="preserve"> vol. 27 (4), 336-354.</w:t>
      </w:r>
    </w:p>
    <w:p w14:paraId="1AE37FD5" w14:textId="77777777" w:rsidR="001E31BC" w:rsidRPr="00B8097E" w:rsidRDefault="001E31BC" w:rsidP="003C7A42">
      <w:pPr>
        <w:ind w:left="425" w:hanging="425"/>
        <w:rPr>
          <w:sz w:val="24"/>
        </w:rPr>
      </w:pPr>
      <w:r w:rsidRPr="00B8097E">
        <w:rPr>
          <w:sz w:val="24"/>
        </w:rPr>
        <w:t xml:space="preserve">Li, J., Mangena, M., &amp; Pike, R. (2012). The effect of audit committee characteristics on intellectual capital disclosure. </w:t>
      </w:r>
      <w:r w:rsidRPr="00B8097E">
        <w:rPr>
          <w:i/>
          <w:sz w:val="24"/>
        </w:rPr>
        <w:t>The British Accounting Review</w:t>
      </w:r>
      <w:r w:rsidRPr="00B8097E">
        <w:rPr>
          <w:sz w:val="24"/>
        </w:rPr>
        <w:t>, 44(2), 98-110.</w:t>
      </w:r>
    </w:p>
    <w:p w14:paraId="24ABC9CD" w14:textId="77777777" w:rsidR="00901320" w:rsidRPr="00B8097E" w:rsidRDefault="00901320" w:rsidP="003C7A42">
      <w:pPr>
        <w:pStyle w:val="ListParagraph"/>
        <w:spacing w:after="0" w:line="240" w:lineRule="auto"/>
        <w:ind w:left="425" w:hanging="425"/>
        <w:jc w:val="both"/>
        <w:rPr>
          <w:rFonts w:ascii="Times New Roman" w:hAnsi="Times New Roman"/>
          <w:color w:val="000000" w:themeColor="text1"/>
          <w:sz w:val="24"/>
          <w:szCs w:val="24"/>
        </w:rPr>
      </w:pPr>
      <w:r w:rsidRPr="00B8097E">
        <w:rPr>
          <w:rFonts w:ascii="Times New Roman" w:hAnsi="Times New Roman"/>
          <w:color w:val="000000" w:themeColor="text1"/>
          <w:sz w:val="24"/>
          <w:szCs w:val="24"/>
        </w:rPr>
        <w:t xml:space="preserve">McMullen, D. &amp; </w:t>
      </w:r>
      <w:proofErr w:type="spellStart"/>
      <w:r w:rsidRPr="00B8097E">
        <w:rPr>
          <w:rFonts w:ascii="Times New Roman" w:hAnsi="Times New Roman"/>
          <w:color w:val="000000" w:themeColor="text1"/>
          <w:sz w:val="24"/>
          <w:szCs w:val="24"/>
        </w:rPr>
        <w:t>Raghunanthan</w:t>
      </w:r>
      <w:proofErr w:type="spellEnd"/>
      <w:r w:rsidRPr="00B8097E">
        <w:rPr>
          <w:rFonts w:ascii="Times New Roman" w:hAnsi="Times New Roman"/>
          <w:color w:val="000000" w:themeColor="text1"/>
          <w:sz w:val="24"/>
          <w:szCs w:val="24"/>
        </w:rPr>
        <w:t xml:space="preserve">, K. (1996). Enhancing audit committee effectiveness. </w:t>
      </w:r>
      <w:r w:rsidRPr="00B8097E">
        <w:rPr>
          <w:rFonts w:ascii="Times New Roman" w:hAnsi="Times New Roman"/>
          <w:i/>
          <w:color w:val="000000" w:themeColor="text1"/>
          <w:sz w:val="24"/>
          <w:szCs w:val="24"/>
        </w:rPr>
        <w:t xml:space="preserve">Journal of Accountancy, </w:t>
      </w:r>
      <w:r w:rsidRPr="00B8097E">
        <w:rPr>
          <w:rFonts w:ascii="Times New Roman" w:hAnsi="Times New Roman"/>
          <w:color w:val="000000" w:themeColor="text1"/>
          <w:sz w:val="24"/>
          <w:szCs w:val="24"/>
        </w:rPr>
        <w:t>182, 79-81.</w:t>
      </w:r>
    </w:p>
    <w:p w14:paraId="6D697285" w14:textId="77777777" w:rsidR="00901320" w:rsidRPr="00B8097E" w:rsidRDefault="00901320" w:rsidP="003C7A42">
      <w:pPr>
        <w:tabs>
          <w:tab w:val="left" w:pos="903"/>
        </w:tabs>
        <w:ind w:left="425" w:hanging="425"/>
        <w:rPr>
          <w:sz w:val="24"/>
        </w:rPr>
      </w:pPr>
      <w:proofErr w:type="spellStart"/>
      <w:r w:rsidRPr="00B8097E">
        <w:rPr>
          <w:sz w:val="24"/>
        </w:rPr>
        <w:t>Roychowdhury</w:t>
      </w:r>
      <w:proofErr w:type="spellEnd"/>
      <w:r w:rsidRPr="00B8097E">
        <w:rPr>
          <w:sz w:val="24"/>
        </w:rPr>
        <w:t xml:space="preserve">, S. (2006). Earnings management through real activities manipulation. </w:t>
      </w:r>
      <w:r w:rsidRPr="00B8097E">
        <w:rPr>
          <w:i/>
          <w:sz w:val="24"/>
        </w:rPr>
        <w:t>Journal of Accounting and Economics</w:t>
      </w:r>
      <w:r w:rsidRPr="00B8097E">
        <w:rPr>
          <w:sz w:val="24"/>
        </w:rPr>
        <w:t>, 42, 335-370.</w:t>
      </w:r>
    </w:p>
    <w:p w14:paraId="015B493D" w14:textId="77777777" w:rsidR="00212DDB" w:rsidRPr="00B8097E" w:rsidRDefault="00A37125" w:rsidP="003C7A42">
      <w:pPr>
        <w:tabs>
          <w:tab w:val="left" w:pos="903"/>
        </w:tabs>
        <w:ind w:left="425" w:hanging="425"/>
        <w:rPr>
          <w:sz w:val="24"/>
        </w:rPr>
      </w:pPr>
      <w:r w:rsidRPr="00B8097E">
        <w:rPr>
          <w:sz w:val="24"/>
        </w:rPr>
        <w:t xml:space="preserve">Salleh, N.M.Z.N., &amp; Che </w:t>
      </w:r>
      <w:proofErr w:type="spellStart"/>
      <w:r w:rsidRPr="00B8097E">
        <w:rPr>
          <w:sz w:val="24"/>
        </w:rPr>
        <w:t>Haat</w:t>
      </w:r>
      <w:proofErr w:type="spellEnd"/>
      <w:r w:rsidRPr="00B8097E">
        <w:rPr>
          <w:sz w:val="24"/>
        </w:rPr>
        <w:t xml:space="preserve">, M.H. (2014). Audit committee and earnings management: Pre and post MCCG. </w:t>
      </w:r>
      <w:r w:rsidRPr="00B8097E">
        <w:rPr>
          <w:i/>
          <w:sz w:val="24"/>
        </w:rPr>
        <w:t xml:space="preserve">International Review of Management and Business Research, </w:t>
      </w:r>
      <w:r w:rsidR="00BF2E91" w:rsidRPr="00B8097E">
        <w:rPr>
          <w:sz w:val="24"/>
        </w:rPr>
        <w:t>3(1), 307-318.</w:t>
      </w:r>
    </w:p>
    <w:p w14:paraId="26155273" w14:textId="77777777" w:rsidR="00645C9A" w:rsidRPr="00B8097E" w:rsidRDefault="00645C9A" w:rsidP="003C7A42">
      <w:pPr>
        <w:ind w:left="425" w:hanging="425"/>
        <w:rPr>
          <w:sz w:val="24"/>
        </w:rPr>
      </w:pPr>
      <w:r w:rsidRPr="00B8097E">
        <w:rPr>
          <w:sz w:val="24"/>
        </w:rPr>
        <w:lastRenderedPageBreak/>
        <w:t xml:space="preserve">Zaman, M., </w:t>
      </w:r>
      <w:proofErr w:type="spellStart"/>
      <w:r w:rsidRPr="00B8097E">
        <w:rPr>
          <w:sz w:val="24"/>
        </w:rPr>
        <w:t>Hudaib</w:t>
      </w:r>
      <w:proofErr w:type="spellEnd"/>
      <w:r w:rsidRPr="00B8097E">
        <w:rPr>
          <w:sz w:val="24"/>
        </w:rPr>
        <w:t xml:space="preserve">, M. and </w:t>
      </w:r>
      <w:proofErr w:type="spellStart"/>
      <w:r w:rsidRPr="00B8097E">
        <w:rPr>
          <w:sz w:val="24"/>
        </w:rPr>
        <w:t>Haniffa</w:t>
      </w:r>
      <w:proofErr w:type="spellEnd"/>
      <w:r w:rsidRPr="00B8097E">
        <w:rPr>
          <w:sz w:val="24"/>
        </w:rPr>
        <w:t xml:space="preserve">, R. (2011). Corporate governance quality, audit fees and non-audit services fees. </w:t>
      </w:r>
      <w:r w:rsidRPr="00B8097E">
        <w:rPr>
          <w:i/>
          <w:sz w:val="24"/>
        </w:rPr>
        <w:t>Journal of Business Finance &amp; Accounting</w:t>
      </w:r>
      <w:r w:rsidRPr="00B8097E">
        <w:rPr>
          <w:sz w:val="24"/>
        </w:rPr>
        <w:t>, vol. 31(1/2), 165-197.</w:t>
      </w:r>
    </w:p>
    <w:p w14:paraId="1B08BC7B" w14:textId="77777777" w:rsidR="00341A60" w:rsidRPr="00B8097E" w:rsidRDefault="00B013B3" w:rsidP="003C7A42">
      <w:pPr>
        <w:ind w:left="425" w:hanging="425"/>
        <w:rPr>
          <w:sz w:val="24"/>
        </w:rPr>
      </w:pPr>
      <w:proofErr w:type="spellStart"/>
      <w:r w:rsidRPr="00B8097E">
        <w:rPr>
          <w:sz w:val="24"/>
        </w:rPr>
        <w:t>Xie</w:t>
      </w:r>
      <w:proofErr w:type="spellEnd"/>
      <w:r w:rsidRPr="00B8097E">
        <w:rPr>
          <w:sz w:val="24"/>
        </w:rPr>
        <w:t xml:space="preserve">, B., Davidson III, W.N., &amp; </w:t>
      </w:r>
      <w:proofErr w:type="spellStart"/>
      <w:r w:rsidRPr="00B8097E">
        <w:rPr>
          <w:sz w:val="24"/>
        </w:rPr>
        <w:t>DaDalt</w:t>
      </w:r>
      <w:proofErr w:type="spellEnd"/>
      <w:r w:rsidRPr="00B8097E">
        <w:rPr>
          <w:sz w:val="24"/>
        </w:rPr>
        <w:t xml:space="preserve">, P.J. (2003). Earnings management and corporate governance: the role of the board and the audit committee. </w:t>
      </w:r>
      <w:r w:rsidRPr="00B8097E">
        <w:rPr>
          <w:i/>
          <w:sz w:val="24"/>
        </w:rPr>
        <w:t>Journal of Corporate Finance</w:t>
      </w:r>
      <w:r w:rsidRPr="00B8097E">
        <w:rPr>
          <w:sz w:val="24"/>
        </w:rPr>
        <w:t>, vol. 9(3), 295-316.</w:t>
      </w:r>
    </w:p>
    <w:sectPr w:rsidR="00341A60" w:rsidRPr="00B8097E" w:rsidSect="001E31B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CEA75" w14:textId="77777777" w:rsidR="00847087" w:rsidRDefault="00847087" w:rsidP="001A5521">
      <w:r>
        <w:separator/>
      </w:r>
    </w:p>
  </w:endnote>
  <w:endnote w:type="continuationSeparator" w:id="0">
    <w:p w14:paraId="20C55BCB" w14:textId="77777777" w:rsidR="00847087" w:rsidRDefault="00847087" w:rsidP="001A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62B0D" w14:textId="77777777" w:rsidR="00CB42CE" w:rsidRDefault="00CB4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545DA" w14:textId="576FF28D" w:rsidR="00CB42CE" w:rsidRPr="00CB42CE" w:rsidRDefault="00CB42CE" w:rsidP="00CB42CE">
    <w:pPr>
      <w:widowControl/>
      <w:pBdr>
        <w:top w:val="single" w:sz="4" w:space="1" w:color="auto"/>
      </w:pBdr>
      <w:tabs>
        <w:tab w:val="center" w:pos="4680"/>
        <w:tab w:val="right" w:pos="9000"/>
        <w:tab w:val="right" w:pos="9360"/>
      </w:tabs>
      <w:jc w:val="left"/>
      <w:rPr>
        <w:rFonts w:eastAsia="Calibri"/>
        <w:kern w:val="0"/>
        <w:sz w:val="20"/>
        <w:szCs w:val="20"/>
        <w:lang w:val="en-MY" w:eastAsia="en-US"/>
      </w:rPr>
    </w:pPr>
    <w:r w:rsidRPr="00CB42CE">
      <w:rPr>
        <w:rFonts w:eastAsia="Calibri"/>
        <w:i/>
        <w:kern w:val="0"/>
        <w:sz w:val="20"/>
        <w:szCs w:val="20"/>
        <w:lang w:val="en-MY" w:eastAsia="en-US"/>
      </w:rPr>
      <w:t>© 201</w:t>
    </w:r>
    <w:r>
      <w:rPr>
        <w:rFonts w:eastAsia="Calibri"/>
        <w:i/>
        <w:kern w:val="0"/>
        <w:sz w:val="20"/>
        <w:szCs w:val="20"/>
        <w:lang w:val="en-MY" w:eastAsia="en-US"/>
      </w:rPr>
      <w:t>9</w:t>
    </w:r>
    <w:r w:rsidRPr="00CB42CE">
      <w:rPr>
        <w:rFonts w:eastAsia="Calibri"/>
        <w:i/>
        <w:kern w:val="0"/>
        <w:sz w:val="20"/>
        <w:szCs w:val="20"/>
        <w:lang w:val="en-MY" w:eastAsia="en-US"/>
      </w:rPr>
      <w:t xml:space="preserve"> UNIMAS All Rights Reserved</w:t>
    </w:r>
    <w:r w:rsidRPr="00CB42CE">
      <w:rPr>
        <w:rFonts w:eastAsia="Calibri"/>
        <w:kern w:val="0"/>
        <w:sz w:val="20"/>
        <w:szCs w:val="20"/>
        <w:lang w:val="en-MY" w:eastAsia="en-US"/>
      </w:rPr>
      <w:t xml:space="preserve"> </w:t>
    </w:r>
    <w:r w:rsidRPr="00CB42CE">
      <w:rPr>
        <w:rFonts w:eastAsia="Calibri"/>
        <w:kern w:val="0"/>
        <w:sz w:val="20"/>
        <w:szCs w:val="20"/>
        <w:lang w:val="en-MY" w:eastAsia="en-US"/>
      </w:rPr>
      <w:tab/>
    </w:r>
    <w:r w:rsidRPr="00CB42CE">
      <w:rPr>
        <w:rFonts w:eastAsia="Calibri"/>
        <w:kern w:val="0"/>
        <w:sz w:val="20"/>
        <w:szCs w:val="20"/>
        <w:lang w:val="en-MY" w:eastAsia="en-US"/>
      </w:rPr>
      <w:tab/>
      <w:t xml:space="preserve">Page | </w:t>
    </w:r>
    <w:r w:rsidRPr="00CB42CE">
      <w:rPr>
        <w:rFonts w:eastAsia="Calibri"/>
        <w:kern w:val="0"/>
        <w:sz w:val="20"/>
        <w:szCs w:val="20"/>
        <w:lang w:val="en-MY" w:eastAsia="en-US"/>
      </w:rPr>
      <w:fldChar w:fldCharType="begin"/>
    </w:r>
    <w:r w:rsidRPr="00CB42CE">
      <w:rPr>
        <w:rFonts w:eastAsia="Calibri"/>
        <w:kern w:val="0"/>
        <w:sz w:val="20"/>
        <w:szCs w:val="20"/>
        <w:lang w:val="en-MY" w:eastAsia="en-US"/>
      </w:rPr>
      <w:instrText xml:space="preserve"> PAGE   \* MERGEFORMAT </w:instrText>
    </w:r>
    <w:r w:rsidRPr="00CB42CE">
      <w:rPr>
        <w:rFonts w:eastAsia="Calibri"/>
        <w:kern w:val="0"/>
        <w:sz w:val="20"/>
        <w:szCs w:val="20"/>
        <w:lang w:val="en-MY" w:eastAsia="en-US"/>
      </w:rPr>
      <w:fldChar w:fldCharType="separate"/>
    </w:r>
    <w:r w:rsidRPr="00CB42CE">
      <w:rPr>
        <w:rFonts w:eastAsia="Calibri"/>
        <w:kern w:val="0"/>
        <w:sz w:val="20"/>
        <w:szCs w:val="20"/>
        <w:lang w:val="en-MY" w:eastAsia="en-US"/>
      </w:rPr>
      <w:t>22</w:t>
    </w:r>
    <w:r w:rsidRPr="00CB42CE">
      <w:rPr>
        <w:rFonts w:eastAsia="Calibri"/>
        <w:noProof/>
        <w:kern w:val="0"/>
        <w:sz w:val="20"/>
        <w:szCs w:val="20"/>
        <w:lang w:val="en-MY" w:eastAsia="en-US"/>
      </w:rPr>
      <w:fldChar w:fldCharType="end"/>
    </w:r>
    <w:r w:rsidRPr="00CB42CE">
      <w:rPr>
        <w:rFonts w:eastAsia="Calibri"/>
        <w:kern w:val="0"/>
        <w:sz w:val="20"/>
        <w:szCs w:val="20"/>
        <w:lang w:val="en-MY" w:eastAsia="en-US"/>
      </w:rPr>
      <w:t xml:space="preserve"> </w:t>
    </w:r>
  </w:p>
  <w:p w14:paraId="2E4CE004" w14:textId="77777777" w:rsidR="001A5521" w:rsidRDefault="001A5521">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17BC" w14:textId="77777777" w:rsidR="00CB42CE" w:rsidRDefault="00CB4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E5ACE" w14:textId="77777777" w:rsidR="00847087" w:rsidRDefault="00847087" w:rsidP="001A5521">
      <w:r>
        <w:separator/>
      </w:r>
    </w:p>
  </w:footnote>
  <w:footnote w:type="continuationSeparator" w:id="0">
    <w:p w14:paraId="70F049D4" w14:textId="77777777" w:rsidR="00847087" w:rsidRDefault="00847087" w:rsidP="001A5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55BCE" w14:textId="77777777" w:rsidR="00CB42CE" w:rsidRDefault="00CB4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17BB" w14:textId="77777777" w:rsidR="00CB42CE" w:rsidRPr="00CB42CE" w:rsidRDefault="00CB42CE" w:rsidP="00CB42CE">
    <w:pPr>
      <w:widowControl/>
      <w:pBdr>
        <w:bottom w:val="single" w:sz="4" w:space="1" w:color="auto"/>
      </w:pBdr>
      <w:tabs>
        <w:tab w:val="center" w:pos="4680"/>
        <w:tab w:val="right" w:pos="9360"/>
      </w:tabs>
      <w:jc w:val="right"/>
      <w:rPr>
        <w:rFonts w:eastAsia="Calibri"/>
        <w:i/>
        <w:kern w:val="0"/>
        <w:sz w:val="20"/>
        <w:szCs w:val="20"/>
        <w:lang w:val="en-MY" w:eastAsia="en-US"/>
      </w:rPr>
    </w:pPr>
    <w:r w:rsidRPr="00CB42CE">
      <w:rPr>
        <w:rFonts w:eastAsia="Calibri"/>
        <w:i/>
        <w:kern w:val="0"/>
        <w:sz w:val="20"/>
        <w:szCs w:val="20"/>
        <w:lang w:val="en-MY" w:eastAsia="en-US"/>
      </w:rPr>
      <w:t>UNIMAS Review of Accounting and Finance</w:t>
    </w:r>
  </w:p>
  <w:p w14:paraId="6F5D4C14" w14:textId="2F372FFE" w:rsidR="00CB42CE" w:rsidRPr="00CB42CE" w:rsidRDefault="00CB42CE" w:rsidP="00CB42CE">
    <w:pPr>
      <w:widowControl/>
      <w:pBdr>
        <w:bottom w:val="single" w:sz="4" w:space="1" w:color="auto"/>
      </w:pBdr>
      <w:tabs>
        <w:tab w:val="center" w:pos="4680"/>
        <w:tab w:val="right" w:pos="9360"/>
      </w:tabs>
      <w:jc w:val="right"/>
      <w:rPr>
        <w:rFonts w:ascii="Calibri" w:eastAsia="Calibri" w:hAnsi="Calibri"/>
        <w:i/>
        <w:kern w:val="0"/>
        <w:sz w:val="20"/>
        <w:szCs w:val="20"/>
        <w:lang w:val="en-MY" w:eastAsia="en-US"/>
      </w:rPr>
    </w:pPr>
    <w:r w:rsidRPr="00CB42CE">
      <w:rPr>
        <w:rFonts w:eastAsia="Calibri"/>
        <w:i/>
        <w:kern w:val="0"/>
        <w:sz w:val="20"/>
        <w:szCs w:val="20"/>
        <w:lang w:val="en-MY" w:eastAsia="en-US"/>
      </w:rPr>
      <w:t>Vol.</w:t>
    </w:r>
    <w:r>
      <w:rPr>
        <w:rFonts w:eastAsia="Calibri"/>
        <w:i/>
        <w:kern w:val="0"/>
        <w:sz w:val="20"/>
        <w:szCs w:val="20"/>
        <w:lang w:val="en-MY" w:eastAsia="en-US"/>
      </w:rPr>
      <w:t>2</w:t>
    </w:r>
    <w:r w:rsidRPr="00CB42CE">
      <w:rPr>
        <w:rFonts w:eastAsia="Calibri"/>
        <w:i/>
        <w:kern w:val="0"/>
        <w:sz w:val="20"/>
        <w:szCs w:val="20"/>
        <w:lang w:val="en-MY" w:eastAsia="en-US"/>
      </w:rPr>
      <w:t xml:space="preserve"> No. 1 201</w:t>
    </w:r>
    <w:r>
      <w:rPr>
        <w:rFonts w:eastAsia="Calibri"/>
        <w:i/>
        <w:kern w:val="0"/>
        <w:sz w:val="20"/>
        <w:szCs w:val="20"/>
        <w:lang w:val="en-MY" w:eastAsia="en-US"/>
      </w:rPr>
      <w:t>9</w:t>
    </w:r>
  </w:p>
  <w:p w14:paraId="66A49A7A" w14:textId="77777777" w:rsidR="00CB42CE" w:rsidRDefault="00CB4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40BC" w14:textId="77777777" w:rsidR="00CB42CE" w:rsidRDefault="00CB42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3C"/>
    <w:rsid w:val="00012FBF"/>
    <w:rsid w:val="000134AF"/>
    <w:rsid w:val="00044D25"/>
    <w:rsid w:val="000505CC"/>
    <w:rsid w:val="00056146"/>
    <w:rsid w:val="00060D6E"/>
    <w:rsid w:val="00070637"/>
    <w:rsid w:val="00072B28"/>
    <w:rsid w:val="00092574"/>
    <w:rsid w:val="000B1723"/>
    <w:rsid w:val="000B1FA1"/>
    <w:rsid w:val="000B4F61"/>
    <w:rsid w:val="000D1935"/>
    <w:rsid w:val="000D5B37"/>
    <w:rsid w:val="000F262A"/>
    <w:rsid w:val="0012241E"/>
    <w:rsid w:val="00150A96"/>
    <w:rsid w:val="001512A8"/>
    <w:rsid w:val="00153B90"/>
    <w:rsid w:val="00160FDF"/>
    <w:rsid w:val="001633F9"/>
    <w:rsid w:val="001642E9"/>
    <w:rsid w:val="00170D47"/>
    <w:rsid w:val="00185AAB"/>
    <w:rsid w:val="00187CB5"/>
    <w:rsid w:val="001A5521"/>
    <w:rsid w:val="001B56D2"/>
    <w:rsid w:val="001D42C0"/>
    <w:rsid w:val="001E31BC"/>
    <w:rsid w:val="001E5A3B"/>
    <w:rsid w:val="00212DDB"/>
    <w:rsid w:val="00216C19"/>
    <w:rsid w:val="00224AB6"/>
    <w:rsid w:val="00230A85"/>
    <w:rsid w:val="00244CE4"/>
    <w:rsid w:val="002457A9"/>
    <w:rsid w:val="002528AC"/>
    <w:rsid w:val="00280BBC"/>
    <w:rsid w:val="002B0F05"/>
    <w:rsid w:val="002B4303"/>
    <w:rsid w:val="002C6620"/>
    <w:rsid w:val="002E640E"/>
    <w:rsid w:val="00307B43"/>
    <w:rsid w:val="003258A7"/>
    <w:rsid w:val="00341386"/>
    <w:rsid w:val="00341A60"/>
    <w:rsid w:val="00351504"/>
    <w:rsid w:val="003A245F"/>
    <w:rsid w:val="003B4BD1"/>
    <w:rsid w:val="003C540C"/>
    <w:rsid w:val="003C6C62"/>
    <w:rsid w:val="003C7A42"/>
    <w:rsid w:val="003D11ED"/>
    <w:rsid w:val="003D6D93"/>
    <w:rsid w:val="003E4D8B"/>
    <w:rsid w:val="003E7A1C"/>
    <w:rsid w:val="0040107B"/>
    <w:rsid w:val="00421D31"/>
    <w:rsid w:val="00427ACC"/>
    <w:rsid w:val="004338DC"/>
    <w:rsid w:val="00440391"/>
    <w:rsid w:val="00455702"/>
    <w:rsid w:val="004652AF"/>
    <w:rsid w:val="00493679"/>
    <w:rsid w:val="004A6E4D"/>
    <w:rsid w:val="004B17EA"/>
    <w:rsid w:val="004B6B05"/>
    <w:rsid w:val="004C4085"/>
    <w:rsid w:val="004D148B"/>
    <w:rsid w:val="004E52AF"/>
    <w:rsid w:val="004F7907"/>
    <w:rsid w:val="005103E3"/>
    <w:rsid w:val="00527477"/>
    <w:rsid w:val="00563D95"/>
    <w:rsid w:val="005879CD"/>
    <w:rsid w:val="005B32AC"/>
    <w:rsid w:val="005B3737"/>
    <w:rsid w:val="005D6E64"/>
    <w:rsid w:val="005E2193"/>
    <w:rsid w:val="005E6D45"/>
    <w:rsid w:val="006102B2"/>
    <w:rsid w:val="0063793E"/>
    <w:rsid w:val="00645025"/>
    <w:rsid w:val="00645659"/>
    <w:rsid w:val="00645C9A"/>
    <w:rsid w:val="006667D9"/>
    <w:rsid w:val="0069624B"/>
    <w:rsid w:val="006B1FCF"/>
    <w:rsid w:val="006C361D"/>
    <w:rsid w:val="006D1733"/>
    <w:rsid w:val="006F1BC1"/>
    <w:rsid w:val="006F42F5"/>
    <w:rsid w:val="006F6BCD"/>
    <w:rsid w:val="00706756"/>
    <w:rsid w:val="00720DCA"/>
    <w:rsid w:val="00725212"/>
    <w:rsid w:val="007330ED"/>
    <w:rsid w:val="007401A9"/>
    <w:rsid w:val="00745442"/>
    <w:rsid w:val="00752377"/>
    <w:rsid w:val="00754B6E"/>
    <w:rsid w:val="00760B19"/>
    <w:rsid w:val="00782FC5"/>
    <w:rsid w:val="007B27E1"/>
    <w:rsid w:val="007F19F1"/>
    <w:rsid w:val="007F2E50"/>
    <w:rsid w:val="0082333D"/>
    <w:rsid w:val="00830B7E"/>
    <w:rsid w:val="00847087"/>
    <w:rsid w:val="008722D7"/>
    <w:rsid w:val="00874FFF"/>
    <w:rsid w:val="00883DFD"/>
    <w:rsid w:val="008956EE"/>
    <w:rsid w:val="00895BC3"/>
    <w:rsid w:val="008B6716"/>
    <w:rsid w:val="008D5AD0"/>
    <w:rsid w:val="00900471"/>
    <w:rsid w:val="00901320"/>
    <w:rsid w:val="00903549"/>
    <w:rsid w:val="0092060A"/>
    <w:rsid w:val="0092099D"/>
    <w:rsid w:val="009468AD"/>
    <w:rsid w:val="00956842"/>
    <w:rsid w:val="00995BBD"/>
    <w:rsid w:val="009A4D1C"/>
    <w:rsid w:val="009D1007"/>
    <w:rsid w:val="009F69D7"/>
    <w:rsid w:val="00A048E6"/>
    <w:rsid w:val="00A11B9F"/>
    <w:rsid w:val="00A37125"/>
    <w:rsid w:val="00A62154"/>
    <w:rsid w:val="00A626C2"/>
    <w:rsid w:val="00A67825"/>
    <w:rsid w:val="00A95777"/>
    <w:rsid w:val="00AB0BC9"/>
    <w:rsid w:val="00AD5562"/>
    <w:rsid w:val="00AE0B3D"/>
    <w:rsid w:val="00AE355F"/>
    <w:rsid w:val="00AF62C9"/>
    <w:rsid w:val="00AF6B18"/>
    <w:rsid w:val="00B013B3"/>
    <w:rsid w:val="00B03364"/>
    <w:rsid w:val="00B20CB2"/>
    <w:rsid w:val="00B303B9"/>
    <w:rsid w:val="00B318E8"/>
    <w:rsid w:val="00B35976"/>
    <w:rsid w:val="00B6505D"/>
    <w:rsid w:val="00B8097E"/>
    <w:rsid w:val="00B823E4"/>
    <w:rsid w:val="00B87864"/>
    <w:rsid w:val="00BA062D"/>
    <w:rsid w:val="00BB06C7"/>
    <w:rsid w:val="00BB163C"/>
    <w:rsid w:val="00BC3275"/>
    <w:rsid w:val="00BE208F"/>
    <w:rsid w:val="00BF2E91"/>
    <w:rsid w:val="00C038AE"/>
    <w:rsid w:val="00C1300B"/>
    <w:rsid w:val="00C16CE7"/>
    <w:rsid w:val="00C466E2"/>
    <w:rsid w:val="00C84D91"/>
    <w:rsid w:val="00CA1E33"/>
    <w:rsid w:val="00CB42CE"/>
    <w:rsid w:val="00CC503B"/>
    <w:rsid w:val="00CD3E4A"/>
    <w:rsid w:val="00CE2C37"/>
    <w:rsid w:val="00CF1CC0"/>
    <w:rsid w:val="00D03EB6"/>
    <w:rsid w:val="00D14772"/>
    <w:rsid w:val="00D25AF4"/>
    <w:rsid w:val="00D40404"/>
    <w:rsid w:val="00D41E99"/>
    <w:rsid w:val="00D82A48"/>
    <w:rsid w:val="00D85E5B"/>
    <w:rsid w:val="00D8717F"/>
    <w:rsid w:val="00DA0A4F"/>
    <w:rsid w:val="00DA5B6C"/>
    <w:rsid w:val="00E05F9A"/>
    <w:rsid w:val="00E448FE"/>
    <w:rsid w:val="00E51E6B"/>
    <w:rsid w:val="00E521D6"/>
    <w:rsid w:val="00E65176"/>
    <w:rsid w:val="00E77939"/>
    <w:rsid w:val="00ED1129"/>
    <w:rsid w:val="00ED144E"/>
    <w:rsid w:val="00ED3F53"/>
    <w:rsid w:val="00EF0F85"/>
    <w:rsid w:val="00F27FD7"/>
    <w:rsid w:val="00F3772F"/>
    <w:rsid w:val="00F45F0B"/>
    <w:rsid w:val="00F56EDE"/>
    <w:rsid w:val="00F73F49"/>
    <w:rsid w:val="00F82DFC"/>
    <w:rsid w:val="00F9279F"/>
    <w:rsid w:val="00FA11E9"/>
    <w:rsid w:val="00FB24CB"/>
    <w:rsid w:val="00FB29A6"/>
    <w:rsid w:val="00FB363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96D0"/>
  <w15:chartTrackingRefBased/>
  <w15:docId w15:val="{EDC9F1E9-45CA-4D5D-A7B2-23A1EC46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63C"/>
    <w:pPr>
      <w:widowControl w:val="0"/>
      <w:spacing w:after="0" w:line="240" w:lineRule="auto"/>
      <w:jc w:val="both"/>
    </w:pPr>
    <w:rPr>
      <w:rFonts w:ascii="Times New Roman" w:eastAsia="SimSun" w:hAnsi="Times New Roman" w:cs="Times New Roman"/>
      <w:kern w:val="2"/>
      <w:sz w:val="21"/>
      <w:szCs w:val="24"/>
      <w:lang w:val="en-US" w:eastAsia="zh-CN"/>
    </w:rPr>
  </w:style>
  <w:style w:type="paragraph" w:styleId="Heading1">
    <w:name w:val="heading 1"/>
    <w:basedOn w:val="Normal"/>
    <w:next w:val="Normal"/>
    <w:link w:val="Heading1Char"/>
    <w:uiPriority w:val="9"/>
    <w:qFormat/>
    <w:rsid w:val="00645C9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30B7E"/>
    <w:pPr>
      <w:widowControl/>
      <w:jc w:val="left"/>
    </w:pPr>
    <w:rPr>
      <w:rFonts w:ascii="Times" w:eastAsia="Times New Roman" w:hAnsi="Times"/>
      <w:kern w:val="0"/>
      <w:sz w:val="20"/>
      <w:szCs w:val="20"/>
      <w:lang w:eastAsia="en-US"/>
    </w:rPr>
  </w:style>
  <w:style w:type="character" w:customStyle="1" w:styleId="BodyText3Char">
    <w:name w:val="Body Text 3 Char"/>
    <w:basedOn w:val="DefaultParagraphFont"/>
    <w:link w:val="BodyText3"/>
    <w:rsid w:val="00830B7E"/>
    <w:rPr>
      <w:rFonts w:ascii="Times" w:eastAsia="Times New Roman" w:hAnsi="Times" w:cs="Times New Roman"/>
      <w:sz w:val="20"/>
      <w:szCs w:val="20"/>
      <w:lang w:val="en-US"/>
    </w:rPr>
  </w:style>
  <w:style w:type="character" w:styleId="Hyperlink">
    <w:name w:val="Hyperlink"/>
    <w:uiPriority w:val="99"/>
    <w:unhideWhenUsed/>
    <w:rsid w:val="003D6D93"/>
    <w:rPr>
      <w:color w:val="0000FF"/>
      <w:u w:val="single"/>
    </w:rPr>
  </w:style>
  <w:style w:type="paragraph" w:styleId="NoSpacing">
    <w:name w:val="No Spacing"/>
    <w:uiPriority w:val="1"/>
    <w:qFormat/>
    <w:rsid w:val="00AE0B3D"/>
    <w:pPr>
      <w:spacing w:after="0" w:line="240" w:lineRule="auto"/>
    </w:pPr>
    <w:rPr>
      <w:rFonts w:ascii="Times New Roman" w:eastAsia="Calibri" w:hAnsi="Times New Roman" w:cs="Times New Roman"/>
      <w:szCs w:val="24"/>
    </w:rPr>
  </w:style>
  <w:style w:type="table" w:styleId="TableGrid">
    <w:name w:val="Table Grid"/>
    <w:basedOn w:val="TableNormal"/>
    <w:uiPriority w:val="39"/>
    <w:rsid w:val="00883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521"/>
    <w:pPr>
      <w:tabs>
        <w:tab w:val="center" w:pos="4513"/>
        <w:tab w:val="right" w:pos="9026"/>
      </w:tabs>
    </w:pPr>
  </w:style>
  <w:style w:type="character" w:customStyle="1" w:styleId="HeaderChar">
    <w:name w:val="Header Char"/>
    <w:basedOn w:val="DefaultParagraphFont"/>
    <w:link w:val="Header"/>
    <w:uiPriority w:val="99"/>
    <w:rsid w:val="001A5521"/>
    <w:rPr>
      <w:rFonts w:ascii="Times New Roman" w:eastAsia="SimSun" w:hAnsi="Times New Roman" w:cs="Times New Roman"/>
      <w:kern w:val="2"/>
      <w:sz w:val="21"/>
      <w:szCs w:val="24"/>
      <w:lang w:val="en-US" w:eastAsia="zh-CN"/>
    </w:rPr>
  </w:style>
  <w:style w:type="paragraph" w:styleId="Footer">
    <w:name w:val="footer"/>
    <w:basedOn w:val="Normal"/>
    <w:link w:val="FooterChar"/>
    <w:uiPriority w:val="99"/>
    <w:unhideWhenUsed/>
    <w:rsid w:val="001A5521"/>
    <w:pPr>
      <w:tabs>
        <w:tab w:val="center" w:pos="4513"/>
        <w:tab w:val="right" w:pos="9026"/>
      </w:tabs>
    </w:pPr>
  </w:style>
  <w:style w:type="character" w:customStyle="1" w:styleId="FooterChar">
    <w:name w:val="Footer Char"/>
    <w:basedOn w:val="DefaultParagraphFont"/>
    <w:link w:val="Footer"/>
    <w:uiPriority w:val="99"/>
    <w:rsid w:val="001A5521"/>
    <w:rPr>
      <w:rFonts w:ascii="Times New Roman" w:eastAsia="SimSun" w:hAnsi="Times New Roman" w:cs="Times New Roman"/>
      <w:kern w:val="2"/>
      <w:sz w:val="21"/>
      <w:szCs w:val="24"/>
      <w:lang w:val="en-US" w:eastAsia="zh-CN"/>
    </w:rPr>
  </w:style>
  <w:style w:type="paragraph" w:styleId="FootnoteText">
    <w:name w:val="footnote text"/>
    <w:basedOn w:val="Normal"/>
    <w:link w:val="FootnoteTextChar"/>
    <w:uiPriority w:val="99"/>
    <w:semiHidden/>
    <w:unhideWhenUsed/>
    <w:rsid w:val="001A5521"/>
    <w:rPr>
      <w:sz w:val="20"/>
      <w:szCs w:val="20"/>
    </w:rPr>
  </w:style>
  <w:style w:type="character" w:customStyle="1" w:styleId="FootnoteTextChar">
    <w:name w:val="Footnote Text Char"/>
    <w:basedOn w:val="DefaultParagraphFont"/>
    <w:link w:val="FootnoteText"/>
    <w:uiPriority w:val="99"/>
    <w:semiHidden/>
    <w:rsid w:val="001A5521"/>
    <w:rPr>
      <w:rFonts w:ascii="Times New Roman" w:eastAsia="SimSun" w:hAnsi="Times New Roman" w:cs="Times New Roman"/>
      <w:kern w:val="2"/>
      <w:sz w:val="20"/>
      <w:szCs w:val="20"/>
      <w:lang w:val="en-US" w:eastAsia="zh-CN"/>
    </w:rPr>
  </w:style>
  <w:style w:type="character" w:styleId="FootnoteReference">
    <w:name w:val="footnote reference"/>
    <w:basedOn w:val="DefaultParagraphFont"/>
    <w:uiPriority w:val="99"/>
    <w:semiHidden/>
    <w:unhideWhenUsed/>
    <w:rsid w:val="001A5521"/>
    <w:rPr>
      <w:vertAlign w:val="superscript"/>
    </w:rPr>
  </w:style>
  <w:style w:type="paragraph" w:customStyle="1" w:styleId="SPIEpapertitle">
    <w:name w:val="SPIE paper title"/>
    <w:basedOn w:val="Normal"/>
    <w:link w:val="SPIEpapertitleCharChar"/>
    <w:rsid w:val="00E77939"/>
    <w:pPr>
      <w:widowControl/>
      <w:jc w:val="center"/>
      <w:outlineLvl w:val="0"/>
    </w:pPr>
    <w:rPr>
      <w:rFonts w:eastAsia="Times New Roman"/>
      <w:b/>
      <w:kern w:val="0"/>
      <w:sz w:val="32"/>
      <w:szCs w:val="20"/>
      <w:lang w:eastAsia="en-US"/>
    </w:rPr>
  </w:style>
  <w:style w:type="character" w:customStyle="1" w:styleId="SPIEpapertitleCharChar">
    <w:name w:val="SPIE paper title Char Char"/>
    <w:basedOn w:val="DefaultParagraphFont"/>
    <w:link w:val="SPIEpapertitle"/>
    <w:rsid w:val="00E77939"/>
    <w:rPr>
      <w:rFonts w:ascii="Times New Roman" w:eastAsia="Times New Roman" w:hAnsi="Times New Roman" w:cs="Times New Roman"/>
      <w:b/>
      <w:sz w:val="32"/>
      <w:szCs w:val="20"/>
      <w:lang w:val="en-US"/>
    </w:rPr>
  </w:style>
  <w:style w:type="paragraph" w:customStyle="1" w:styleId="SPIEAuthors-Affils">
    <w:name w:val="SPIE Authors-Affils"/>
    <w:basedOn w:val="Normal"/>
    <w:next w:val="Normal"/>
    <w:link w:val="SPIEAuthors-AffilsCharChar"/>
    <w:rsid w:val="00E77939"/>
    <w:pPr>
      <w:widowControl/>
      <w:jc w:val="center"/>
    </w:pPr>
    <w:rPr>
      <w:rFonts w:eastAsia="Times New Roman"/>
      <w:kern w:val="0"/>
      <w:sz w:val="24"/>
      <w:szCs w:val="20"/>
      <w:lang w:eastAsia="en-US"/>
    </w:rPr>
  </w:style>
  <w:style w:type="character" w:customStyle="1" w:styleId="SPIEAuthors-AffilsCharChar">
    <w:name w:val="SPIE Authors-Affils Char Char"/>
    <w:link w:val="SPIEAuthors-Affils"/>
    <w:rsid w:val="00E77939"/>
    <w:rPr>
      <w:rFonts w:ascii="Times New Roman" w:eastAsia="Times New Roman" w:hAnsi="Times New Roman" w:cs="Times New Roman"/>
      <w:sz w:val="24"/>
      <w:szCs w:val="20"/>
      <w:lang w:val="en-US"/>
    </w:rPr>
  </w:style>
  <w:style w:type="paragraph" w:customStyle="1" w:styleId="SPIEauthoraffils">
    <w:name w:val="SPIE author &amp; affils"/>
    <w:basedOn w:val="SPIEAuthors-Affils"/>
    <w:link w:val="SPIEauthoraffilsChar"/>
    <w:rsid w:val="00E77939"/>
    <w:pPr>
      <w:outlineLvl w:val="0"/>
    </w:pPr>
  </w:style>
  <w:style w:type="character" w:customStyle="1" w:styleId="SPIEauthoraffilsChar">
    <w:name w:val="SPIE author &amp; affils Char"/>
    <w:basedOn w:val="SPIEAuthors-AffilsCharChar"/>
    <w:link w:val="SPIEauthoraffils"/>
    <w:rsid w:val="00E77939"/>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01320"/>
    <w:pPr>
      <w:widowControl/>
      <w:spacing w:after="200" w:line="276" w:lineRule="auto"/>
      <w:ind w:left="720"/>
      <w:contextualSpacing/>
      <w:jc w:val="left"/>
    </w:pPr>
    <w:rPr>
      <w:rFonts w:ascii="Calibri" w:eastAsia="Times New Roman" w:hAnsi="Calibri"/>
      <w:kern w:val="0"/>
      <w:sz w:val="22"/>
      <w:szCs w:val="22"/>
      <w:lang w:eastAsia="en-US"/>
    </w:rPr>
  </w:style>
  <w:style w:type="paragraph" w:styleId="BalloonText">
    <w:name w:val="Balloon Text"/>
    <w:basedOn w:val="Normal"/>
    <w:link w:val="BalloonTextChar"/>
    <w:uiPriority w:val="99"/>
    <w:semiHidden/>
    <w:unhideWhenUsed/>
    <w:rsid w:val="00DA5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B6C"/>
    <w:rPr>
      <w:rFonts w:ascii="Segoe UI" w:eastAsia="SimSun" w:hAnsi="Segoe UI" w:cs="Segoe UI"/>
      <w:kern w:val="2"/>
      <w:sz w:val="18"/>
      <w:szCs w:val="18"/>
      <w:lang w:val="en-US" w:eastAsia="zh-CN"/>
    </w:rPr>
  </w:style>
  <w:style w:type="character" w:customStyle="1" w:styleId="Heading1Char">
    <w:name w:val="Heading 1 Char"/>
    <w:basedOn w:val="DefaultParagraphFont"/>
    <w:link w:val="Heading1"/>
    <w:uiPriority w:val="9"/>
    <w:rsid w:val="00645C9A"/>
    <w:rPr>
      <w:rFonts w:asciiTheme="majorHAnsi" w:eastAsiaTheme="majorEastAsia" w:hAnsiTheme="majorHAnsi" w:cstheme="majorBidi"/>
      <w:color w:val="2E74B5" w:themeColor="accent1" w:themeShade="BF"/>
      <w:kern w:val="2"/>
      <w:sz w:val="32"/>
      <w:szCs w:val="32"/>
      <w:lang w:val="en-US" w:eastAsia="zh-CN"/>
    </w:rPr>
  </w:style>
  <w:style w:type="paragraph" w:customStyle="1" w:styleId="Keywords">
    <w:name w:val="*Keywords*"/>
    <w:basedOn w:val="Normal"/>
    <w:next w:val="Normal"/>
    <w:rsid w:val="00427ACC"/>
    <w:pPr>
      <w:widowControl/>
      <w:ind w:left="360" w:hanging="360"/>
    </w:pPr>
    <w:rPr>
      <w:rFonts w:eastAsia="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953525">
      <w:bodyDiv w:val="1"/>
      <w:marLeft w:val="0"/>
      <w:marRight w:val="0"/>
      <w:marTop w:val="0"/>
      <w:marBottom w:val="0"/>
      <w:divBdr>
        <w:top w:val="none" w:sz="0" w:space="0" w:color="auto"/>
        <w:left w:val="none" w:sz="0" w:space="0" w:color="auto"/>
        <w:bottom w:val="none" w:sz="0" w:space="0" w:color="auto"/>
        <w:right w:val="none" w:sz="0" w:space="0" w:color="auto"/>
      </w:divBdr>
    </w:div>
    <w:div w:id="1462917261">
      <w:bodyDiv w:val="1"/>
      <w:marLeft w:val="0"/>
      <w:marRight w:val="0"/>
      <w:marTop w:val="0"/>
      <w:marBottom w:val="0"/>
      <w:divBdr>
        <w:top w:val="none" w:sz="0" w:space="0" w:color="auto"/>
        <w:left w:val="none" w:sz="0" w:space="0" w:color="auto"/>
        <w:bottom w:val="none" w:sz="0" w:space="0" w:color="auto"/>
        <w:right w:val="none" w:sz="0" w:space="0" w:color="auto"/>
      </w:divBdr>
    </w:div>
    <w:div w:id="177158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ursamalaysi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5E1F3-76EE-4B6B-828E-43A0C5D13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3079</Words>
  <Characters>17553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Sophee Sulong bin Balia</cp:lastModifiedBy>
  <cp:revision>2</cp:revision>
  <cp:lastPrinted>2018-08-24T14:42:00Z</cp:lastPrinted>
  <dcterms:created xsi:type="dcterms:W3CDTF">2019-12-16T06:40:00Z</dcterms:created>
  <dcterms:modified xsi:type="dcterms:W3CDTF">2019-12-16T06:40:00Z</dcterms:modified>
</cp:coreProperties>
</file>